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届广西律师协会20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年度优秀专门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专业委员会 优秀主任名单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（</w:t>
      </w:r>
      <w:r>
        <w:rPr>
          <w:rFonts w:hint="eastAsia" w:ascii="仿宋" w:hAnsi="仿宋" w:eastAsia="仿宋" w:cs="楷体_GB2312"/>
          <w:sz w:val="32"/>
          <w:szCs w:val="32"/>
          <w:lang w:val="en-US" w:eastAsia="zh-CN"/>
        </w:rPr>
        <w:t>按委员会设置</w:t>
      </w:r>
      <w:r>
        <w:rPr>
          <w:rFonts w:hint="eastAsia" w:ascii="仿宋" w:hAnsi="仿宋" w:eastAsia="仿宋" w:cs="楷体_GB2312"/>
          <w:sz w:val="32"/>
          <w:szCs w:val="32"/>
        </w:rPr>
        <w:t>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一、优秀专门委员会（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维护律师执业权利委员会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惩戒委员会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律师教育委员会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青年律师工作委员会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二、优秀专业委员会（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刑事专业委员会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民事专业委员会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未成年人保护专业委员会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企业破产与重组专业委员会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三、优秀专门委员会主任（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蒋巍雄        律师行业规则与发展委员会主任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刘超麟        维护律师执业权利委员会常务副主任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熊潇敏        律师教育委员会主任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梁  鹏        青年律师工作委员会主任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四、优秀专业委员会主任（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许慧博        刑事专业委员会主任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吴  霞（女）  民事专业委员会主任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潘海清（女）  涉外专业委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员会主任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李  杰        企业破产与重组专业委员会主任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mRjODAyMTI1ZTkzMjY0MmEwNDkxNjIyMjE1OGEifQ=="/>
  </w:docVars>
  <w:rsids>
    <w:rsidRoot w:val="7ACE5817"/>
    <w:rsid w:val="11A02D34"/>
    <w:rsid w:val="3DF3779A"/>
    <w:rsid w:val="7AC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2024-04-01T11:30:00Z</dcterms:created>
  <dc:creator>HY</dc:creator>
  <cp:lastModifiedBy>HY</cp:lastModifiedBy>
  <dcterms:modified xsi:type="dcterms:W3CDTF">2024-04-03T04:10:16Z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642E47837E3E417ABD8ADB6E747C5FFE_11</vt:lpwstr>
  </property>
</Properties>
</file>