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line="600" w:lineRule="exact"/>
        <w:jc w:val="left"/>
        <w:rPr>
          <w:rFonts w:hint="default" w:ascii="黑体" w:hAnsi="黑体" w:eastAsia="黑体" w:cs="黑体"/>
          <w:b w:val="0"/>
          <w:bCs w:val="0"/>
          <w:color w:val="auto"/>
          <w:sz w:val="32"/>
          <w:szCs w:val="32"/>
          <w:highlight w:val="none"/>
          <w:lang w:val="en-US" w:eastAsia="zh-CN"/>
        </w:rPr>
      </w:pPr>
      <w:bookmarkStart w:id="0" w:name="_GoBack"/>
      <w:bookmarkEnd w:id="0"/>
      <w:r>
        <w:rPr>
          <w:rFonts w:hint="default" w:ascii="黑体" w:hAnsi="黑体" w:eastAsia="黑体" w:cs="黑体"/>
          <w:b w:val="0"/>
          <w:bCs w:val="0"/>
          <w:i w:val="0"/>
          <w:iCs w:val="0"/>
          <w:color w:val="auto"/>
          <w:kern w:val="2"/>
          <w:sz w:val="32"/>
          <w:szCs w:val="32"/>
          <w:highlight w:val="none"/>
          <w:vertAlign w:val="baseline"/>
          <w:lang w:val="en-US" w:eastAsia="zh-CN" w:bidi="ar-SA"/>
        </w:rPr>
        <w:t>附件</w:t>
      </w:r>
      <w:r>
        <w:rPr>
          <w:rFonts w:hint="eastAsia" w:ascii="黑体" w:hAnsi="黑体" w:eastAsia="黑体" w:cs="黑体"/>
          <w:b w:val="0"/>
          <w:bCs w:val="0"/>
          <w:i w:val="0"/>
          <w:iCs w:val="0"/>
          <w:color w:val="auto"/>
          <w:kern w:val="2"/>
          <w:sz w:val="32"/>
          <w:szCs w:val="32"/>
          <w:highlight w:val="none"/>
          <w:vertAlign w:val="baseline"/>
          <w:lang w:val="en-US" w:eastAsia="zh-CN" w:bidi="ar-SA"/>
        </w:rPr>
        <w:t>5</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t>来（返）邕人员健康管理措施</w:t>
      </w:r>
    </w:p>
    <w:p>
      <w:pPr>
        <w:keepNext w:val="0"/>
        <w:keepLines w:val="0"/>
        <w:pageBreakBefore w:val="0"/>
        <w:widowControl w:val="0"/>
        <w:kinsoku/>
        <w:wordWrap/>
        <w:overflowPunct/>
        <w:topLinePunct w:val="0"/>
        <w:autoSpaceDE/>
        <w:autoSpaceDN/>
        <w:bidi w:val="0"/>
        <w:adjustRightInd/>
        <w:snapToGrid/>
        <w:spacing w:line="520" w:lineRule="exact"/>
        <w:ind w:firstLine="88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截至2022年11月16日，来（返）邕人员健康管理措施如下：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楷体" w:hAnsi="楷体" w:eastAsia="楷体" w:cs="楷体"/>
          <w:b w:val="0"/>
          <w:bCs w:val="0"/>
          <w:i w:val="0"/>
          <w:iCs w:val="0"/>
          <w:color w:val="auto"/>
          <w:kern w:val="2"/>
          <w:sz w:val="32"/>
          <w:szCs w:val="32"/>
          <w:highlight w:val="none"/>
          <w:vertAlign w:val="baseline"/>
          <w:lang w:val="en-US" w:eastAsia="zh-CN" w:bidi="ar-SA"/>
        </w:rPr>
        <w:t>（一）入邕报备和排查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1.区外所有地区及区内有本土疫情的地区人员须持48小时核酸检测阴性证明入邕。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2.来（返）邕人员提前48小时向目的地社区（村、屯）报备，报备方式通过微信搜索“智慧防疫-健康南宁”小程序进行信息填写。在抵邕后12小时内向目的地社区（村、屯）报告，并根据风险等级按照国家及广西壮族自治区疫情防控要求接受健康管理服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3.排查起始时间为该县（市、区、旗）有疫情之日起往前7天，截止时间为当地所有低风险区调整为常态化防控当日或最后1例本土疫情报告后7天。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4.直辖市的县（区）和不设区的地级市参照执行。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楷体" w:hAnsi="楷体" w:eastAsia="楷体" w:cs="楷体"/>
          <w:b w:val="0"/>
          <w:bCs w:val="0"/>
          <w:i w:val="0"/>
          <w:iCs w:val="0"/>
          <w:color w:val="auto"/>
          <w:kern w:val="2"/>
          <w:sz w:val="32"/>
          <w:szCs w:val="32"/>
          <w:highlight w:val="none"/>
          <w:vertAlign w:val="baseline"/>
          <w:lang w:val="en-US" w:eastAsia="zh-CN" w:bidi="ar-SA"/>
        </w:rPr>
        <w:t>（二）区外来（返）邕人员健康管理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bCs/>
          <w:i w:val="0"/>
          <w:iCs w:val="0"/>
          <w:color w:val="auto"/>
          <w:kern w:val="2"/>
          <w:sz w:val="32"/>
          <w:szCs w:val="32"/>
          <w:highlight w:val="none"/>
          <w:vertAlign w:val="baseline"/>
          <w:lang w:val="en-US" w:eastAsia="zh-CN" w:bidi="ar-SA"/>
        </w:rPr>
        <w:t>1.高风险区来（返）邕人员管理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对有高风险区7天旅居史的人员，实行7天居家隔离医学观察（在居家第1、3、5、7天各进行1次核酸检测），期间赋码管理、不得外出。如不具备居家隔离条件的，进行集中隔离医学观察。管理期限自离开高风险区之日算起。</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bCs/>
          <w:i w:val="0"/>
          <w:iCs w:val="0"/>
          <w:color w:val="auto"/>
          <w:kern w:val="2"/>
          <w:sz w:val="32"/>
          <w:szCs w:val="32"/>
          <w:highlight w:val="none"/>
          <w:vertAlign w:val="baseline"/>
          <w:lang w:val="en-US" w:eastAsia="zh-CN" w:bidi="ar-SA"/>
        </w:rPr>
        <w:t>2.低风险区（高风险区所在县（市、区、旗）其他地区）来（返）邕人员管理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对有低风险地区7天内旅居史的人员，进行“落地检”后，实行“三天两检”（第1、3天各进行1次核酸检测，“落地检”视为第一检），两次检测结果出来之前须进行居家健康监测，无固定居所或不具备居家健康监测条件的，进行集中健康监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bCs/>
          <w:i w:val="0"/>
          <w:iCs w:val="0"/>
          <w:color w:val="auto"/>
          <w:kern w:val="2"/>
          <w:sz w:val="32"/>
          <w:szCs w:val="32"/>
          <w:highlight w:val="none"/>
          <w:vertAlign w:val="baseline"/>
          <w:lang w:val="en-US" w:eastAsia="zh-CN" w:bidi="ar-SA"/>
        </w:rPr>
        <w:t>3.常态化防控地区来（返）邕人员管理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bCs/>
          <w:i w:val="0"/>
          <w:iCs w:val="0"/>
          <w:color w:val="auto"/>
          <w:kern w:val="2"/>
          <w:sz w:val="32"/>
          <w:szCs w:val="32"/>
          <w:highlight w:val="none"/>
          <w:vertAlign w:val="baseline"/>
          <w:lang w:val="en-US" w:eastAsia="zh-CN" w:bidi="ar-SA"/>
        </w:rPr>
        <w:t>（1）7天内有本土疫情的县（市、区、旗）人员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抵邕进行“落地检”后，实行“三天两检”（第1、3天各进行1次核酸检测，“落地检”视为第一检），两次检测结果出来之前居家健康监测，无固定居所或不具备居家健康监测条件的，进行集中健康监测。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bCs/>
          <w:i w:val="0"/>
          <w:iCs w:val="0"/>
          <w:color w:val="auto"/>
          <w:kern w:val="2"/>
          <w:sz w:val="32"/>
          <w:szCs w:val="32"/>
          <w:highlight w:val="none"/>
          <w:vertAlign w:val="baseline"/>
          <w:lang w:val="en-US" w:eastAsia="zh-CN" w:bidi="ar-SA"/>
        </w:rPr>
        <w:t>（2）7天内无本土疫情的县（市、区、旗）人员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抵邕进行“落地检”后，实行“三天两检”（第1、3天各进行1次核酸检测，“落地检”视为第一检），两次检测结果出来之前做好戴口罩等个人防护，工作生活“两点一线”，不聚会、聚餐，不到人员聚集、密闭公共场所，有序流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jc w:val="both"/>
        <w:textAlignment w:val="auto"/>
        <w:rPr>
          <w:rFonts w:hint="default" w:ascii="方正小标宋简体" w:hAnsi="方正小标宋简体" w:eastAsia="方正小标宋简体" w:cs="方正小标宋简体"/>
          <w:b w:val="0"/>
          <w:bCs w:val="0"/>
          <w:i w:val="0"/>
          <w:iCs w:val="0"/>
          <w:color w:val="auto"/>
          <w:kern w:val="2"/>
          <w:sz w:val="44"/>
          <w:szCs w:val="44"/>
          <w:highlight w:val="none"/>
          <w:vertAlign w:val="baseline"/>
          <w:lang w:val="en-US" w:eastAsia="zh-CN" w:bidi="ar-SA"/>
        </w:rPr>
      </w:pPr>
      <w:r>
        <w:rPr>
          <w:rFonts w:hint="default" w:ascii="仿宋" w:hAnsi="仿宋" w:eastAsia="仿宋" w:cs="仿宋"/>
          <w:b/>
          <w:bCs/>
          <w:i w:val="0"/>
          <w:iCs w:val="0"/>
          <w:color w:val="auto"/>
          <w:kern w:val="2"/>
          <w:sz w:val="32"/>
          <w:szCs w:val="32"/>
          <w:highlight w:val="none"/>
          <w:vertAlign w:val="baseline"/>
          <w:lang w:val="en-US" w:eastAsia="zh-CN" w:bidi="ar-SA"/>
        </w:rPr>
        <w:t>（三）区内跨市（州）流动人员要求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仿宋" w:hAnsi="仿宋" w:eastAsia="仿宋" w:cs="仿宋"/>
          <w:b w:val="0"/>
          <w:bCs w:val="0"/>
          <w:i w:val="0"/>
          <w:iCs w:val="0"/>
          <w:color w:val="auto"/>
          <w:kern w:val="2"/>
          <w:sz w:val="32"/>
          <w:szCs w:val="32"/>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1.区内高、低风险区及7天内有本土疫情的县（市、区）流动人员。按区外高、低风险区及7天内有本土疫情的县（市、区）来（返）邕人员健康管理要求进行管理。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2.区内7天内无本土疫情发生的县（市、区）流动人员，持健康码绿码即可通行。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b w:val="0"/>
          <w:bCs w:val="0"/>
          <w:i w:val="0"/>
          <w:iCs w:val="0"/>
          <w:color w:val="auto"/>
          <w:kern w:val="2"/>
          <w:sz w:val="32"/>
          <w:szCs w:val="32"/>
          <w:highlight w:val="none"/>
          <w:vertAlign w:val="baseline"/>
          <w:lang w:val="en-US" w:eastAsia="zh-CN" w:bidi="ar-SA"/>
        </w:rPr>
      </w:pPr>
    </w:p>
    <w:p>
      <w:pPr>
        <w:adjustRightInd/>
        <w:snapToGrid/>
        <w:spacing w:line="560" w:lineRule="exact"/>
        <w:jc w:val="both"/>
        <w:rPr>
          <w:rFonts w:hint="eastAsia" w:ascii="黑体" w:hAnsi="黑体" w:eastAsia="黑体" w:cs="黑体"/>
          <w:b w:val="0"/>
          <w:bCs w:val="0"/>
          <w:color w:val="auto"/>
          <w:sz w:val="32"/>
          <w:szCs w:val="32"/>
          <w:highlight w:val="none"/>
          <w:lang w:val="en-US" w:eastAsia="zh-CN"/>
        </w:rPr>
      </w:pPr>
    </w:p>
    <w:p>
      <w:pPr>
        <w:adjustRightInd/>
        <w:snapToGrid/>
        <w:spacing w:line="560" w:lineRule="exact"/>
        <w:jc w:val="both"/>
        <w:rPr>
          <w:rFonts w:hint="eastAsia" w:ascii="黑体" w:hAnsi="黑体" w:eastAsia="黑体" w:cs="黑体"/>
          <w:b w:val="0"/>
          <w:bCs w:val="0"/>
          <w:color w:val="auto"/>
          <w:sz w:val="32"/>
          <w:szCs w:val="32"/>
          <w:highlight w:val="none"/>
          <w:lang w:val="en-US" w:eastAsia="zh-CN"/>
        </w:rPr>
      </w:pPr>
    </w:p>
    <w:p>
      <w:pPr>
        <w:adjustRightInd/>
        <w:snapToGrid/>
        <w:spacing w:line="560" w:lineRule="exact"/>
        <w:jc w:val="both"/>
        <w:rPr>
          <w:rFonts w:hint="eastAsia" w:ascii="黑体" w:hAnsi="黑体" w:eastAsia="黑体" w:cs="黑体"/>
          <w:b w:val="0"/>
          <w:bCs w:val="0"/>
          <w:color w:val="auto"/>
          <w:sz w:val="32"/>
          <w:szCs w:val="32"/>
          <w:highlight w:val="none"/>
          <w:lang w:val="en-US" w:eastAsia="zh-CN"/>
        </w:rPr>
      </w:pPr>
    </w:p>
    <w:p>
      <w:pPr>
        <w:adjustRightInd/>
        <w:snapToGrid/>
        <w:spacing w:line="560" w:lineRule="exact"/>
        <w:jc w:val="both"/>
        <w:rPr>
          <w:rFonts w:hint="eastAsia" w:ascii="黑体" w:hAnsi="黑体" w:eastAsia="黑体" w:cs="黑体"/>
          <w:b w:val="0"/>
          <w:bCs w:val="0"/>
          <w:color w:val="auto"/>
          <w:sz w:val="32"/>
          <w:szCs w:val="32"/>
          <w:highlight w:val="none"/>
          <w:lang w:val="en-US" w:eastAsia="zh-CN"/>
        </w:rPr>
      </w:pPr>
    </w:p>
    <w:sectPr>
      <w:footerReference r:id="rId3" w:type="default"/>
      <w:pgSz w:w="11906" w:h="16838"/>
      <w:pgMar w:top="1984" w:right="1417" w:bottom="1417" w:left="1417"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ODY1M2I1Y2YwM2M1MTA0NzczZjgwODQ3MWM4MjAifQ=="/>
  </w:docVars>
  <w:rsids>
    <w:rsidRoot w:val="00000000"/>
    <w:rsid w:val="06E64350"/>
    <w:rsid w:val="0BCF11E7"/>
    <w:rsid w:val="0BE77AC9"/>
    <w:rsid w:val="0F371E6C"/>
    <w:rsid w:val="182A098A"/>
    <w:rsid w:val="2D63208F"/>
    <w:rsid w:val="30561C1E"/>
    <w:rsid w:val="346216ED"/>
    <w:rsid w:val="37712406"/>
    <w:rsid w:val="3B831B5C"/>
    <w:rsid w:val="3D1B6DFC"/>
    <w:rsid w:val="3D1D0A46"/>
    <w:rsid w:val="41E55ED5"/>
    <w:rsid w:val="484B337B"/>
    <w:rsid w:val="495A5D0B"/>
    <w:rsid w:val="57916D29"/>
    <w:rsid w:val="5CBF0E6E"/>
    <w:rsid w:val="643A0656"/>
    <w:rsid w:val="6AE669F2"/>
    <w:rsid w:val="711C7206"/>
    <w:rsid w:val="76F27A7F"/>
    <w:rsid w:val="78293C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qFormat/>
    <w:uiPriority w:val="0"/>
  </w:style>
  <w:style w:type="table" w:default="1" w:styleId="4">
    <w:name w:val="Normal Table"/>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151"/>
    <w:basedOn w:val="6"/>
    <w:qFormat/>
    <w:uiPriority w:val="0"/>
    <w:rPr>
      <w:rFonts w:hint="eastAsia" w:ascii="黑体" w:hAnsi="宋体" w:eastAsia="黑体" w:cs="黑体"/>
      <w:color w:val="000000"/>
      <w:sz w:val="24"/>
      <w:szCs w:val="24"/>
      <w:u w:val="none"/>
    </w:rPr>
  </w:style>
  <w:style w:type="character" w:customStyle="1" w:styleId="8">
    <w:name w:val="font71"/>
    <w:basedOn w:val="6"/>
    <w:qFormat/>
    <w:uiPriority w:val="0"/>
    <w:rPr>
      <w:rFonts w:hint="default" w:ascii="仿宋_GB2312" w:eastAsia="仿宋_GB2312" w:cs="仿宋_GB2312"/>
      <w:color w:val="000000"/>
      <w:sz w:val="24"/>
      <w:szCs w:val="24"/>
      <w:u w:val="none"/>
    </w:rPr>
  </w:style>
  <w:style w:type="character" w:customStyle="1" w:styleId="9">
    <w:name w:val="font131"/>
    <w:basedOn w:val="6"/>
    <w:qFormat/>
    <w:uiPriority w:val="0"/>
    <w:rPr>
      <w:rFonts w:hint="default" w:ascii="仿宋_GB2312" w:eastAsia="仿宋_GB2312" w:cs="仿宋_GB2312"/>
      <w:color w:val="000000"/>
      <w:sz w:val="20"/>
      <w:szCs w:val="20"/>
      <w:u w: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5543</Words>
  <Characters>6068</Characters>
  <Paragraphs>525</Paragraphs>
  <TotalTime>13</TotalTime>
  <ScaleCrop>false</ScaleCrop>
  <LinksUpToDate>false</LinksUpToDate>
  <CharactersWithSpaces>6273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2022-11-02T08:24:00Z</dcterms:created>
  <dc:creator>少爷病得很严重</dc:creator>
  <cp:lastModifiedBy>苏</cp:lastModifiedBy>
  <cp:lastPrinted>2022-11-08T08:48:00Z</cp:lastPrinted>
  <dcterms:modified xsi:type="dcterms:W3CDTF">2022-11-25T13:26:04Z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ADA53605DBB04D5E88D1D1B969391439</vt:lpwstr>
  </property>
</Properties>
</file>