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Times New Roman"/>
          <w:sz w:val="32"/>
          <w:szCs w:val="32"/>
        </w:rPr>
      </w:pPr>
      <w:r>
        <w:rPr>
          <w:rFonts w:hint="eastAsia" w:ascii="黑体" w:eastAsia="黑体" w:cs="Times New Roman"/>
          <w:sz w:val="32"/>
          <w:szCs w:val="32"/>
        </w:rPr>
        <w:t>附件</w:t>
      </w:r>
    </w:p>
    <w:p>
      <w:pPr>
        <w:rPr>
          <w:rFonts w:hint="eastAsia" w:asci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中南六省（区）2022律师论坛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广西律师论文获奖名单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tbl>
      <w:tblPr>
        <w:tblStyle w:val="6"/>
        <w:tblW w:w="105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0"/>
        <w:gridCol w:w="3969"/>
        <w:gridCol w:w="1304"/>
        <w:gridCol w:w="3118"/>
        <w:gridCol w:w="1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30"/>
                <w:szCs w:val="30"/>
              </w:rPr>
            </w:pPr>
            <w:r>
              <w:rPr>
                <w:rFonts w:hint="eastAsia" w:ascii="仿宋" w:hAnsi="仿宋" w:eastAsia="仿宋" w:cs="仿宋"/>
                <w:b/>
                <w:sz w:val="30"/>
                <w:szCs w:val="30"/>
              </w:rPr>
              <w:t>序号</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30"/>
                <w:szCs w:val="30"/>
              </w:rPr>
            </w:pPr>
            <w:r>
              <w:rPr>
                <w:rFonts w:hint="eastAsia" w:ascii="仿宋" w:hAnsi="仿宋" w:eastAsia="仿宋" w:cs="仿宋"/>
                <w:b/>
                <w:sz w:val="30"/>
                <w:szCs w:val="30"/>
              </w:rPr>
              <w:t>论文题目</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30"/>
                <w:szCs w:val="30"/>
              </w:rPr>
            </w:pPr>
            <w:r>
              <w:rPr>
                <w:rFonts w:hint="eastAsia" w:ascii="仿宋" w:hAnsi="仿宋" w:eastAsia="仿宋" w:cs="仿宋"/>
                <w:b/>
                <w:sz w:val="30"/>
                <w:szCs w:val="30"/>
              </w:rPr>
              <w:t>作者</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执业机构</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30"/>
                <w:szCs w:val="30"/>
              </w:rPr>
            </w:pPr>
            <w:r>
              <w:rPr>
                <w:rFonts w:hint="eastAsia" w:ascii="仿宋" w:hAnsi="仿宋" w:eastAsia="仿宋" w:cs="仿宋"/>
                <w:b/>
                <w:sz w:val="30"/>
                <w:szCs w:val="30"/>
              </w:rPr>
              <w:t>奖项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1</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rPr>
            </w:pPr>
            <w:r>
              <w:rPr>
                <w:rFonts w:hint="eastAsia" w:ascii="仿宋" w:hAnsi="仿宋" w:eastAsia="仿宋" w:cs="仿宋"/>
                <w:b w:val="0"/>
                <w:bCs w:val="0"/>
                <w:sz w:val="30"/>
                <w:szCs w:val="30"/>
              </w:rPr>
              <w:t>智慧城市非智慧困境中的隐私权保护问题研究</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eastAsia="zh-CN"/>
              </w:rPr>
            </w:pPr>
            <w:r>
              <w:rPr>
                <w:rFonts w:hint="eastAsia" w:ascii="仿宋" w:hAnsi="仿宋" w:eastAsia="仿宋" w:cs="仿宋"/>
                <w:b w:val="0"/>
                <w:bCs w:val="0"/>
                <w:i w:val="0"/>
                <w:color w:val="000000"/>
                <w:sz w:val="30"/>
                <w:szCs w:val="30"/>
                <w:u w:val="none"/>
              </w:rPr>
              <w:t>王德正</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广西同望（柳州）律师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rPr>
            </w:pPr>
            <w:r>
              <w:rPr>
                <w:rFonts w:hint="eastAsia" w:ascii="仿宋" w:hAnsi="仿宋" w:eastAsia="仿宋" w:cs="仿宋"/>
                <w:b w:val="0"/>
                <w:bCs w:val="0"/>
                <w:sz w:val="30"/>
                <w:szCs w:val="30"/>
              </w:rPr>
              <w:t>浅析RCEP框架下数据跨境流动面临的困境及应对措施</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eastAsia="zh-CN"/>
              </w:rPr>
            </w:pPr>
            <w:r>
              <w:rPr>
                <w:rFonts w:hint="eastAsia" w:ascii="仿宋" w:hAnsi="仿宋" w:eastAsia="仿宋" w:cs="仿宋"/>
                <w:b w:val="0"/>
                <w:bCs w:val="0"/>
                <w:color w:val="000000"/>
                <w:sz w:val="30"/>
                <w:szCs w:val="30"/>
              </w:rPr>
              <w:t>覃芳晖</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北京市盈科（南宁）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3</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lang w:val="en-US" w:eastAsia="zh-CN"/>
              </w:rPr>
            </w:pPr>
            <w:r>
              <w:rPr>
                <w:rFonts w:hint="eastAsia" w:ascii="仿宋" w:hAnsi="仿宋" w:eastAsia="仿宋" w:cs="仿宋"/>
                <w:b w:val="0"/>
                <w:bCs w:val="0"/>
                <w:sz w:val="30"/>
                <w:szCs w:val="30"/>
                <w:lang w:eastAsia="zh-Hans"/>
              </w:rPr>
              <w:t>网络虚拟财产执行法律问题初探</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b w:val="0"/>
                <w:bCs w:val="0"/>
                <w:i w:val="0"/>
                <w:color w:val="000000"/>
                <w:sz w:val="30"/>
                <w:szCs w:val="30"/>
                <w:u w:val="none"/>
                <w:lang w:val="en-US" w:eastAsia="zh-CN"/>
              </w:rPr>
              <w:t>蒋  丽</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广西大航律师事务所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4</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rPr>
            </w:pPr>
            <w:r>
              <w:rPr>
                <w:rFonts w:hint="eastAsia" w:ascii="仿宋" w:hAnsi="仿宋" w:eastAsia="仿宋" w:cs="仿宋"/>
                <w:b w:val="0"/>
                <w:bCs w:val="0"/>
                <w:sz w:val="30"/>
                <w:szCs w:val="30"/>
                <w:lang w:eastAsia="zh-Hans"/>
              </w:rPr>
              <w:t>《民法典》背景下网络虚拟财产交易风险识别及防范</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eastAsia="zh-Hans"/>
              </w:rPr>
              <w:t>基于案例统计分析</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b w:val="0"/>
                <w:bCs w:val="0"/>
                <w:color w:val="000000"/>
                <w:spacing w:val="0"/>
                <w:w w:val="100"/>
                <w:position w:val="0"/>
                <w:sz w:val="30"/>
                <w:szCs w:val="30"/>
              </w:rPr>
              <w:t>张</w:t>
            </w:r>
            <w:r>
              <w:rPr>
                <w:rFonts w:hint="eastAsia" w:ascii="仿宋" w:hAnsi="仿宋" w:eastAsia="仿宋" w:cs="仿宋"/>
                <w:b w:val="0"/>
                <w:bCs w:val="0"/>
                <w:color w:val="000000"/>
                <w:spacing w:val="0"/>
                <w:w w:val="100"/>
                <w:position w:val="0"/>
                <w:sz w:val="30"/>
                <w:szCs w:val="30"/>
                <w:lang w:val="en-US" w:eastAsia="zh-CN"/>
              </w:rPr>
              <w:t xml:space="preserve">  </w:t>
            </w:r>
            <w:r>
              <w:rPr>
                <w:rFonts w:hint="eastAsia" w:ascii="仿宋" w:hAnsi="仿宋" w:eastAsia="仿宋" w:cs="仿宋"/>
                <w:b w:val="0"/>
                <w:bCs w:val="0"/>
                <w:color w:val="000000"/>
                <w:spacing w:val="0"/>
                <w:w w:val="100"/>
                <w:position w:val="0"/>
                <w:sz w:val="30"/>
                <w:szCs w:val="30"/>
              </w:rPr>
              <w:t>勤</w:t>
            </w:r>
          </w:p>
        </w:tc>
        <w:tc>
          <w:tcPr>
            <w:tcW w:w="311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北京大成（南宁）律师</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事务所</w:t>
            </w:r>
          </w:p>
        </w:tc>
        <w:tc>
          <w:tcPr>
            <w:tcW w:w="13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5</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rPr>
            </w:pPr>
            <w:r>
              <w:rPr>
                <w:rFonts w:hint="eastAsia" w:ascii="仿宋" w:hAnsi="仿宋" w:eastAsia="仿宋" w:cs="仿宋"/>
                <w:b w:val="0"/>
                <w:bCs w:val="0"/>
                <w:sz w:val="30"/>
                <w:szCs w:val="30"/>
                <w:lang w:eastAsia="zh-Hans"/>
              </w:rPr>
              <w:t>RCEP原产地规则在我国跨国公司拓展区域内市场的运用及法律风险防范建议</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b w:val="0"/>
                <w:bCs w:val="0"/>
                <w:i w:val="0"/>
                <w:color w:val="000000"/>
                <w:sz w:val="30"/>
                <w:szCs w:val="30"/>
                <w:u w:val="none"/>
                <w:lang w:val="en-US" w:eastAsia="zh-CN"/>
              </w:rPr>
              <w:t>戴海霞</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广西桂海天律师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6</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rPr>
            </w:pPr>
            <w:r>
              <w:rPr>
                <w:rFonts w:hint="eastAsia" w:ascii="仿宋" w:hAnsi="仿宋" w:eastAsia="仿宋" w:cs="仿宋"/>
                <w:b w:val="0"/>
                <w:bCs w:val="0"/>
                <w:sz w:val="30"/>
                <w:szCs w:val="30"/>
              </w:rPr>
              <w:t>律师开展刑事合规业务执业风险的识别与防范</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龚振中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b w:val="0"/>
                <w:bCs w:val="0"/>
                <w:sz w:val="30"/>
                <w:szCs w:val="30"/>
                <w:lang w:val="en-US" w:eastAsia="zh-CN"/>
              </w:rPr>
              <w:t>欧  喆</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广西望之辩律师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pacing w:val="-6"/>
                <w:sz w:val="30"/>
                <w:szCs w:val="30"/>
              </w:rPr>
              <w:t>数字时代网络虚拟财产继承法律问题之研究</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谢林格</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徐</w:t>
            </w:r>
            <w:r>
              <w:rPr>
                <w:rFonts w:hint="eastAsia" w:ascii="仿宋" w:hAnsi="仿宋" w:eastAsia="仿宋" w:cs="仿宋"/>
                <w:b w:val="0"/>
                <w:bCs w:val="0"/>
                <w:sz w:val="30"/>
                <w:szCs w:val="30"/>
                <w:lang w:val="en-US" w:eastAsia="zh-CN"/>
              </w:rPr>
              <w:t>友</w:t>
            </w:r>
            <w:r>
              <w:rPr>
                <w:rFonts w:hint="eastAsia" w:ascii="仿宋" w:hAnsi="仿宋" w:eastAsia="仿宋" w:cs="仿宋"/>
                <w:b w:val="0"/>
                <w:bCs w:val="0"/>
                <w:sz w:val="30"/>
                <w:szCs w:val="30"/>
              </w:rPr>
              <w:t>功</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广西东方意远律师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pacing w:val="-6"/>
                <w:sz w:val="30"/>
                <w:szCs w:val="30"/>
              </w:rPr>
              <w:t>浅议民事电子数据的质证规则</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color w:val="000000"/>
                <w:sz w:val="30"/>
                <w:szCs w:val="30"/>
                <w:lang w:val="en-US" w:eastAsia="zh-CN"/>
              </w:rPr>
              <w:t>赵法杏</w:t>
            </w:r>
            <w:bookmarkStart w:id="0" w:name="_GoBack"/>
            <w:bookmarkEnd w:id="0"/>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广西广合律师事务所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RCEP框架下的国有企业反补贴规制及应对策略研究</w:t>
            </w:r>
          </w:p>
        </w:tc>
        <w:tc>
          <w:tcPr>
            <w:tcW w:w="1304"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hint="eastAsia" w:ascii="仿宋" w:hAnsi="仿宋" w:eastAsia="仿宋" w:cs="仿宋"/>
                <w:b w:val="0"/>
                <w:bCs w:val="0"/>
                <w:color w:val="000000"/>
                <w:spacing w:val="0"/>
                <w:w w:val="100"/>
                <w:position w:val="0"/>
                <w:sz w:val="30"/>
                <w:szCs w:val="30"/>
              </w:rPr>
            </w:pPr>
            <w:r>
              <w:rPr>
                <w:rFonts w:hint="eastAsia" w:ascii="仿宋" w:hAnsi="仿宋" w:eastAsia="仿宋" w:cs="仿宋"/>
                <w:b w:val="0"/>
                <w:bCs w:val="0"/>
                <w:color w:val="000000"/>
                <w:spacing w:val="0"/>
                <w:w w:val="100"/>
                <w:position w:val="0"/>
                <w:sz w:val="30"/>
                <w:szCs w:val="30"/>
              </w:rPr>
              <w:t>陈昌松</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color w:val="000000"/>
                <w:spacing w:val="0"/>
                <w:w w:val="100"/>
                <w:position w:val="0"/>
                <w:sz w:val="30"/>
                <w:szCs w:val="30"/>
              </w:rPr>
              <w:t>闭其良</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北京大成（南宁）律师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浅论企业刑事合规与防控侵犯商业秘密罪法律风险</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i w:val="0"/>
                <w:color w:val="000000"/>
                <w:sz w:val="30"/>
                <w:szCs w:val="30"/>
                <w:u w:val="none"/>
                <w:lang w:eastAsia="zh-CN"/>
              </w:rPr>
              <w:t>李</w:t>
            </w:r>
            <w:r>
              <w:rPr>
                <w:rFonts w:hint="eastAsia" w:ascii="仿宋" w:hAnsi="仿宋" w:eastAsia="仿宋" w:cs="仿宋"/>
                <w:b w:val="0"/>
                <w:bCs w:val="0"/>
                <w:i w:val="0"/>
                <w:color w:val="000000"/>
                <w:sz w:val="30"/>
                <w:szCs w:val="30"/>
                <w:u w:val="none"/>
                <w:lang w:val="en-US" w:eastAsia="zh-CN"/>
              </w:rPr>
              <w:t xml:space="preserve">  </w:t>
            </w:r>
            <w:r>
              <w:rPr>
                <w:rFonts w:hint="eastAsia" w:ascii="仿宋" w:hAnsi="仿宋" w:eastAsia="仿宋" w:cs="仿宋"/>
                <w:b w:val="0"/>
                <w:bCs w:val="0"/>
                <w:i w:val="0"/>
                <w:color w:val="000000"/>
                <w:sz w:val="30"/>
                <w:szCs w:val="30"/>
                <w:u w:val="none"/>
                <w:lang w:eastAsia="zh-CN"/>
              </w:rPr>
              <w:t>好</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广西万益律师事务所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企业刑事合规的内化路径探析——以涉案企业刑事合规改革与刑法、刑事诉讼法修正为视角</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陈玉清</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pacing w:val="-6"/>
                <w:sz w:val="30"/>
                <w:szCs w:val="30"/>
                <w:lang w:val="en-US" w:eastAsia="zh-CN"/>
              </w:rPr>
              <w:t>广西桂三力律师事务所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论企业“事前”建立刑事合规体系的价值</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李  筠      潘  杰</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广西顺景律师事务所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RCEP框架下的管辖选择——以国际货物贸易为例</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丘肇宇</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北京中银（南宁）律师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RCEP争端解决机制的创新与完善——以条约的</w:t>
            </w:r>
            <w:r>
              <w:rPr>
                <w:rFonts w:hint="eastAsia" w:ascii="仿宋" w:hAnsi="仿宋" w:eastAsia="仿宋" w:cs="仿宋"/>
                <w:b w:val="0"/>
                <w:bCs w:val="0"/>
                <w:sz w:val="30"/>
                <w:szCs w:val="30"/>
                <w:lang w:val="en-US" w:eastAsia="zh-CN"/>
              </w:rPr>
              <w:t>保障</w:t>
            </w:r>
            <w:r>
              <w:rPr>
                <w:rFonts w:hint="eastAsia" w:ascii="仿宋" w:hAnsi="仿宋" w:eastAsia="仿宋" w:cs="仿宋"/>
                <w:b w:val="0"/>
                <w:bCs w:val="0"/>
                <w:sz w:val="30"/>
                <w:szCs w:val="30"/>
              </w:rPr>
              <w:t>机制为视角</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李乾睿    潘鹏赛</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广西万益律师事务所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律师在企业刑事合规中的机遇挑战及风险防范</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朱恩平</w:t>
            </w:r>
          </w:p>
        </w:tc>
        <w:tc>
          <w:tcPr>
            <w:tcW w:w="3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广西精一律师事务所</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优秀奖</w:t>
            </w:r>
          </w:p>
        </w:tc>
      </w:tr>
    </w:tbl>
    <w:p/>
    <w:sectPr>
      <w:footerReference r:id="rId3" w:type="default"/>
      <w:pgSz w:w="11906" w:h="16838"/>
      <w:pgMar w:top="1984"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YTkzZWE5OGMyZTBmN2UxZTZlYThlNDQwZGM3NzMifQ=="/>
  </w:docVars>
  <w:rsids>
    <w:rsidRoot w:val="58AC7452"/>
    <w:rsid w:val="034D077E"/>
    <w:rsid w:val="03BE360A"/>
    <w:rsid w:val="05A131E3"/>
    <w:rsid w:val="0A3E7253"/>
    <w:rsid w:val="10563548"/>
    <w:rsid w:val="15242859"/>
    <w:rsid w:val="1D7468A0"/>
    <w:rsid w:val="1FEF3070"/>
    <w:rsid w:val="283B7B44"/>
    <w:rsid w:val="2EE47B19"/>
    <w:rsid w:val="32803FFD"/>
    <w:rsid w:val="341E3ACD"/>
    <w:rsid w:val="3950297B"/>
    <w:rsid w:val="3CF74F07"/>
    <w:rsid w:val="404043A0"/>
    <w:rsid w:val="49A40EE4"/>
    <w:rsid w:val="49F6701D"/>
    <w:rsid w:val="4D447CA9"/>
    <w:rsid w:val="52B7716F"/>
    <w:rsid w:val="54A85967"/>
    <w:rsid w:val="54B375E5"/>
    <w:rsid w:val="553E1482"/>
    <w:rsid w:val="58AC7452"/>
    <w:rsid w:val="5D9978C0"/>
    <w:rsid w:val="5EC40C4A"/>
    <w:rsid w:val="679E77D9"/>
    <w:rsid w:val="68354966"/>
    <w:rsid w:val="71956476"/>
    <w:rsid w:val="7C2C6DE1"/>
    <w:rsid w:val="7CB2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Other|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653</Words>
  <Characters>677</Characters>
  <Lines>0</Lines>
  <Paragraphs>0</Paragraphs>
  <TotalTime>69</TotalTime>
  <ScaleCrop>false</ScaleCrop>
  <LinksUpToDate>false</LinksUpToDate>
  <CharactersWithSpaces>699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2022-11-06T08:17:00Z</dcterms:created>
  <dc:creator>Echo均庭叶</dc:creator>
  <cp:lastModifiedBy>WLN</cp:lastModifiedBy>
  <dcterms:modified xsi:type="dcterms:W3CDTF">2022-11-16T04:27:49Z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0CA1653162DA4DAB861717A90C8C972C</vt:lpwstr>
  </property>
</Properties>
</file>