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方正小标宋简体" w:cs="楷体"/>
          <w:b w:val="0"/>
          <w:bCs w:val="0"/>
          <w:color w:val="auto"/>
          <w:sz w:val="44"/>
          <w:szCs w:val="44"/>
          <w:shd w:val="clear" w:color="auto" w:fill="FFFFFF"/>
          <w:lang w:val="en-US" w:eastAsia="zh-CN"/>
        </w:rPr>
      </w:pPr>
      <w:r>
        <w:rPr>
          <w:rFonts w:hint="eastAsia" w:ascii="楷体" w:hAnsi="楷体" w:eastAsia="方正小标宋简体" w:cs="楷体"/>
          <w:b w:val="0"/>
          <w:bCs w:val="0"/>
          <w:color w:val="auto"/>
          <w:sz w:val="44"/>
          <w:szCs w:val="44"/>
          <w:shd w:val="clear" w:color="auto" w:fill="FFFFFF"/>
          <w:lang w:val="en-US" w:eastAsia="zh-CN"/>
        </w:rPr>
        <w:t>公司审判实务系列培训内</w:t>
      </w:r>
      <w:bookmarkStart w:id="0" w:name="_GoBack"/>
      <w:bookmarkEnd w:id="0"/>
      <w:r>
        <w:rPr>
          <w:rFonts w:hint="eastAsia" w:ascii="楷体" w:hAnsi="楷体" w:eastAsia="方正小标宋简体" w:cs="楷体"/>
          <w:b w:val="0"/>
          <w:bCs w:val="0"/>
          <w:color w:val="auto"/>
          <w:sz w:val="44"/>
          <w:szCs w:val="44"/>
          <w:shd w:val="clear" w:color="auto" w:fill="FFFFFF"/>
          <w:lang w:val="en-US" w:eastAsia="zh-CN"/>
        </w:rPr>
        <w:t>容和师资安排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rPr>
      </w:pPr>
    </w:p>
    <w:p>
      <w:pPr>
        <w:ind w:firstLine="640" w:firstLineChars="200"/>
        <w:rPr>
          <w:rFonts w:hint="eastAsia" w:ascii="楷体" w:hAnsi="楷体" w:eastAsia="楷体" w:cs="楷体"/>
          <w:b w:val="0"/>
          <w:bCs w:val="0"/>
          <w:color w:val="auto"/>
          <w:sz w:val="32"/>
          <w:szCs w:val="32"/>
          <w:shd w:val="clear" w:color="auto" w:fill="FFFFFF"/>
        </w:rPr>
      </w:pPr>
      <w:r>
        <w:rPr>
          <w:rFonts w:hint="eastAsia" w:ascii="楷体" w:hAnsi="楷体" w:eastAsia="楷体" w:cs="楷体"/>
          <w:color w:val="auto"/>
          <w:sz w:val="32"/>
          <w:szCs w:val="32"/>
          <w:shd w:val="clear" w:color="auto" w:fill="FFFFFF"/>
          <w:lang w:val="en-US" w:eastAsia="zh-CN"/>
        </w:rPr>
        <w:t>主讲人：</w:t>
      </w:r>
      <w:r>
        <w:rPr>
          <w:rFonts w:hint="eastAsia" w:ascii="仿宋" w:hAnsi="仿宋" w:eastAsia="仿宋" w:cs="仿宋"/>
          <w:color w:val="auto"/>
          <w:sz w:val="32"/>
          <w:szCs w:val="32"/>
          <w:shd w:val="clear" w:color="auto" w:fill="FFFFFF"/>
          <w:lang w:val="en-US" w:eastAsia="zh-CN"/>
        </w:rPr>
        <w:t>王忠，出庭课授课专家，26年审判业务经验，北大、人法法学院硕士研究生兼职导师。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32"/>
          <w:szCs w:val="32"/>
          <w:shd w:val="clear" w:color="auto" w:fill="FFFFFF"/>
        </w:rPr>
      </w:pPr>
      <w:r>
        <w:rPr>
          <w:rFonts w:hint="eastAsia" w:ascii="楷体" w:hAnsi="楷体" w:eastAsia="楷体" w:cs="楷体"/>
          <w:b w:val="0"/>
          <w:bCs w:val="0"/>
          <w:color w:val="auto"/>
          <w:sz w:val="32"/>
          <w:szCs w:val="32"/>
          <w:shd w:val="clear" w:color="auto" w:fill="FFFFFF"/>
        </w:rPr>
        <w:t>专题一</w:t>
      </w:r>
      <w:r>
        <w:rPr>
          <w:rFonts w:hint="eastAsia" w:ascii="楷体" w:hAnsi="楷体" w:eastAsia="楷体" w:cs="楷体"/>
          <w:b w:val="0"/>
          <w:bCs w:val="0"/>
          <w:color w:val="auto"/>
          <w:sz w:val="32"/>
          <w:szCs w:val="32"/>
          <w:shd w:val="clear" w:color="auto" w:fill="FFFFFF"/>
          <w:lang w:eastAsia="zh-CN"/>
        </w:rPr>
        <w:t>：</w:t>
      </w:r>
      <w:r>
        <w:rPr>
          <w:rFonts w:hint="eastAsia" w:ascii="楷体" w:hAnsi="楷体" w:eastAsia="楷体" w:cs="楷体"/>
          <w:b w:val="0"/>
          <w:bCs w:val="0"/>
          <w:color w:val="auto"/>
          <w:sz w:val="32"/>
          <w:szCs w:val="32"/>
          <w:shd w:val="clear" w:color="auto" w:fill="FFFFFF"/>
          <w:lang w:val="en-US" w:eastAsia="zh-CN"/>
        </w:rPr>
        <w:t>股东资格确认</w:t>
      </w:r>
    </w:p>
    <w:p>
      <w:pPr>
        <w:keepNext w:val="0"/>
        <w:keepLines w:val="0"/>
        <w:pageBreakBefore w:val="0"/>
        <w:widowControl w:val="0"/>
        <w:kinsoku/>
        <w:wordWrap/>
        <w:overflowPunct/>
        <w:topLinePunct w:val="0"/>
        <w:autoSpaceDE/>
        <w:autoSpaceDN/>
        <w:bidi w:val="0"/>
        <w:adjustRightInd/>
        <w:snapToGrid/>
        <w:spacing w:line="560" w:lineRule="exact"/>
        <w:ind w:left="560"/>
        <w:jc w:val="both"/>
        <w:textAlignment w:val="auto"/>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教学内容：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（一）案由</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1.案由理解与适用一释义</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2.法条依据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3.案件类型</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（二）主体</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1.原告</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2.被告</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（三）诉求</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（四）实务问题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1.公司在股权确认中的义务规则</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2.股权与股东资格确认</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3.股东名册与股东资格确认</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4.公司增资中的股东资格确认</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5.股权继承</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6.隐名出资下股东资格的认定</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7.冒名股东</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8.干股股东</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9.确认股东资格的证据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（五）案例裁判规则归纳</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（六）经典案例分析围绕请求权、证据分析为轴</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1.案例1——吴静与上海逸诚纺织品有限公司股东资格确认纠纷（测谎证据）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2.案例2——指导性案例96号</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b w:val="0"/>
          <w:bCs w:val="0"/>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3.案例3——万家裕与丽江宏瑞水电开发有限公其他股东权纠纷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shd w:val="clear" w:color="auto" w:fill="FFFFFF"/>
        </w:rPr>
        <w:t>专题二：</w:t>
      </w:r>
      <w:r>
        <w:rPr>
          <w:rFonts w:hint="eastAsia" w:ascii="楷体" w:hAnsi="楷体" w:eastAsia="楷体" w:cs="楷体"/>
          <w:b w:val="0"/>
          <w:bCs w:val="0"/>
          <w:color w:val="auto"/>
          <w:sz w:val="32"/>
          <w:szCs w:val="32"/>
          <w:shd w:val="clear" w:color="auto" w:fill="FFFFFF"/>
          <w:lang w:val="en-US" w:eastAsia="zh-CN"/>
        </w:rPr>
        <w:t>股东出资纠纷</w:t>
      </w:r>
    </w:p>
    <w:p>
      <w:pPr>
        <w:keepNext w:val="0"/>
        <w:keepLines w:val="0"/>
        <w:pageBreakBefore w:val="0"/>
        <w:widowControl w:val="0"/>
        <w:kinsoku/>
        <w:wordWrap/>
        <w:overflowPunct/>
        <w:topLinePunct w:val="0"/>
        <w:autoSpaceDE/>
        <w:autoSpaceDN/>
        <w:bidi w:val="0"/>
        <w:adjustRightInd/>
        <w:snapToGrid/>
        <w:spacing w:line="560" w:lineRule="exact"/>
        <w:ind w:left="560"/>
        <w:jc w:val="both"/>
        <w:textAlignment w:val="auto"/>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教学内容：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（一）案由</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1.释义——给付之诉</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2.可能产生的纠纷类型</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3.法律依据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4.管辖</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5.诉讼时效</w:t>
      </w:r>
    </w:p>
    <w:p>
      <w:pPr>
        <w:keepNext w:val="0"/>
        <w:keepLines w:val="0"/>
        <w:pageBreakBefore w:val="0"/>
        <w:widowControl w:val="0"/>
        <w:kinsoku/>
        <w:wordWrap/>
        <w:overflowPunct/>
        <w:topLinePunct w:val="0"/>
        <w:autoSpaceDE/>
        <w:autoSpaceDN/>
        <w:bidi w:val="0"/>
        <w:adjustRightInd/>
        <w:snapToGrid/>
        <w:spacing w:line="560" w:lineRule="exact"/>
        <w:ind w:firstLine="1174" w:firstLineChars="367"/>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5.1出资请求不适用诉讼时效的情形</w:t>
      </w:r>
    </w:p>
    <w:p>
      <w:pPr>
        <w:keepNext w:val="0"/>
        <w:keepLines w:val="0"/>
        <w:pageBreakBefore w:val="0"/>
        <w:widowControl w:val="0"/>
        <w:kinsoku/>
        <w:wordWrap/>
        <w:overflowPunct/>
        <w:topLinePunct w:val="0"/>
        <w:autoSpaceDE/>
        <w:autoSpaceDN/>
        <w:bidi w:val="0"/>
        <w:adjustRightInd/>
        <w:snapToGrid/>
        <w:spacing w:line="560" w:lineRule="exact"/>
        <w:ind w:left="1222" w:leftChars="532" w:hanging="105" w:hangingChars="33"/>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5.2协助抽逃出资的其他股东、董事、高级管理人员、或实际控制人需承担连带责任，对上述主体的请求权是否受诉讼时效限制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（二）股东出资基础问题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1.出资及出资方式</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2.股东违反出资义务的形态</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3.股东违反出资义务后对不同权利主体的民事责任</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（三）诉讼主体</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1.原告</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2.被告</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（四）实务问题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1.非货币出资相关问题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2股东未履行或未全面履行出资义务的责任</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3.抽逃出资的认定及其责任</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4.股东出资瑕疵的法律后果</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5.瑕疵股权转让后出资责任承担</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6.举证责任承担</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（五）诉请</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（六）案例分析</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1.案例——鞍山市人民政府与鞍山第一工程机械股份有限公司加工合同欠款纠纷上诉案</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2.案例——(2011)民提字第86——抽逃出资的认定</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3.案例——(2011)民提字第6号——各股东的实际出资数额和持有股权比例应属于公司股东意思自治的范畴，股东内部也可以约定不按实际出资比例持有股权</w:t>
      </w:r>
    </w:p>
    <w:p>
      <w:pPr>
        <w:keepNext w:val="0"/>
        <w:keepLines w:val="0"/>
        <w:pageBreakBefore w:val="0"/>
        <w:widowControl w:val="0"/>
        <w:kinsoku/>
        <w:wordWrap/>
        <w:overflowPunct/>
        <w:topLinePunct w:val="0"/>
        <w:autoSpaceDE/>
        <w:autoSpaceDN/>
        <w:bidi w:val="0"/>
        <w:adjustRightInd/>
        <w:snapToGrid/>
        <w:spacing w:line="560" w:lineRule="exact"/>
        <w:ind w:left="560"/>
        <w:jc w:val="center"/>
        <w:textAlignment w:val="auto"/>
        <w:rPr>
          <w:rFonts w:hint="eastAsia" w:ascii="楷体" w:hAnsi="楷体" w:eastAsia="楷体" w:cs="楷体"/>
          <w:b w:val="0"/>
          <w:bCs w:val="0"/>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lang w:val="en-US" w:eastAsia="zh-CN"/>
        </w:rPr>
      </w:pPr>
      <w:r>
        <w:rPr>
          <w:rFonts w:hint="eastAsia" w:ascii="楷体" w:hAnsi="楷体" w:eastAsia="楷体" w:cs="楷体"/>
          <w:b w:val="0"/>
          <w:bCs w:val="0"/>
          <w:color w:val="auto"/>
          <w:sz w:val="32"/>
          <w:szCs w:val="32"/>
          <w:shd w:val="clear" w:color="auto" w:fill="FFFFFF"/>
          <w:lang w:val="en-US" w:eastAsia="zh-CN"/>
        </w:rPr>
        <w:t>专题三：股东知情权纠纷</w:t>
      </w:r>
    </w:p>
    <w:p>
      <w:pPr>
        <w:keepNext w:val="0"/>
        <w:keepLines w:val="0"/>
        <w:pageBreakBefore w:val="0"/>
        <w:widowControl w:val="0"/>
        <w:kinsoku/>
        <w:wordWrap/>
        <w:overflowPunct/>
        <w:topLinePunct w:val="0"/>
        <w:autoSpaceDE/>
        <w:autoSpaceDN/>
        <w:bidi w:val="0"/>
        <w:adjustRightInd/>
        <w:snapToGrid/>
        <w:spacing w:line="560" w:lineRule="exact"/>
        <w:ind w:left="56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rPr>
        <w:t>教学内容：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（一）案由与管辖</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 案由</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 管辖</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（二）条文理解与适用</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 权利性质——法定权利</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 知情权主体——股东身份</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 知情权对象及其范围限制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 不正当目的</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 董监高的民事责任</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（三）实务难点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 权利主体相关问题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 股东知情权范围问题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 前置程序</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 举证责任分配</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 诉讼期间被解除股东资格是否影响股东知情权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 其他问题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7. 驳回判决的既判力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（四）案例解析及律师公司法诉讼裁判思维的养成</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 案例——中华人民共和国最高人民法院公报》2011年第8期</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 公司法裁判思维</w:t>
      </w:r>
    </w:p>
    <w:p>
      <w:pPr>
        <w:keepNext w:val="0"/>
        <w:keepLines w:val="0"/>
        <w:pageBreakBefore w:val="0"/>
        <w:widowControl w:val="0"/>
        <w:kinsoku/>
        <w:wordWrap/>
        <w:overflowPunct/>
        <w:topLinePunct w:val="0"/>
        <w:autoSpaceDE/>
        <w:autoSpaceDN/>
        <w:bidi w:val="0"/>
        <w:adjustRightInd/>
        <w:snapToGrid/>
        <w:spacing w:line="560" w:lineRule="exact"/>
        <w:ind w:left="560"/>
        <w:jc w:val="center"/>
        <w:textAlignment w:val="auto"/>
        <w:rPr>
          <w:rFonts w:hint="eastAsia" w:ascii="楷体" w:hAnsi="楷体" w:eastAsia="楷体" w:cs="楷体"/>
          <w:b w:val="0"/>
          <w:bCs w:val="0"/>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color w:val="auto"/>
          <w:sz w:val="32"/>
          <w:szCs w:val="32"/>
          <w:shd w:val="clear" w:color="auto" w:fill="FFFFFF"/>
          <w:lang w:val="en-US" w:eastAsia="zh-CN"/>
        </w:rPr>
      </w:pPr>
      <w:r>
        <w:rPr>
          <w:rFonts w:hint="eastAsia" w:ascii="楷体" w:hAnsi="楷体" w:eastAsia="楷体" w:cs="楷体"/>
          <w:b w:val="0"/>
          <w:bCs w:val="0"/>
          <w:color w:val="auto"/>
          <w:sz w:val="32"/>
          <w:szCs w:val="32"/>
          <w:shd w:val="clear" w:color="auto" w:fill="FFFFFF"/>
          <w:lang w:val="en-US" w:eastAsia="zh-CN"/>
        </w:rPr>
        <w:t>专题四：股权转让协议</w:t>
      </w:r>
    </w:p>
    <w:p>
      <w:pPr>
        <w:keepNext w:val="0"/>
        <w:keepLines w:val="0"/>
        <w:pageBreakBefore w:val="0"/>
        <w:widowControl w:val="0"/>
        <w:kinsoku/>
        <w:wordWrap/>
        <w:overflowPunct/>
        <w:topLinePunct w:val="0"/>
        <w:autoSpaceDE/>
        <w:autoSpaceDN/>
        <w:bidi w:val="0"/>
        <w:adjustRightInd/>
        <w:snapToGrid/>
        <w:spacing w:line="560" w:lineRule="exact"/>
        <w:ind w:left="56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rPr>
        <w:t>教学内容：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（一）案由</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1.案由释义</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2.纠纷类型</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3.法律依据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4.管辖</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5.相邻案由识别</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（二）股权转让协议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1.协议成立</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2.股权转让中的负担行为和处分行为</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3.股权转让协议的效力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4.侵害优先购买权的股权转让协议的效力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5.违反公司章程限制的股权转让协议的效力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6.未经审批的外商投资股权转让协议的效力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（三）优先购买权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1.优先购买权的排除适用</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2.优先购买权的通知与行使</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3.同等条件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4.期间</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5.股权放弃转让</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6.损害救济</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7.优先购买权适用中的其他问题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（四）其他实务问题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1.显名股东或实际出资人单方面转让股权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2.瑕疵出资人的股权转让的效力认定</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3.股权转让后原股东再次处分股权的效力认定</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4.股权转让与土地使用权、矿业权转让</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5.夫妻一方转让共有股权的行为认定</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6.显名股东、实际出资人与执行异议之诉</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7.有限公司股权转让疑难问题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（五）案例研习与讲解诉讼应对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1.指导案例67号：汤长龙诉周士海股权转让纠纷案</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 xml:space="preserve">2.广东达宝物业管理有限公司与广东中岱企业集团有限公司、广东中岱电讯产业有限公司、广州市中珊实业有限公司股权转让合作纠纷案  </w:t>
      </w:r>
      <w:r>
        <w:rPr>
          <w:rFonts w:hint="eastAsia" w:ascii="仿宋" w:hAnsi="仿宋" w:eastAsia="仿宋" w:cs="仿宋"/>
          <w:color w:val="auto"/>
          <w:sz w:val="32"/>
          <w:szCs w:val="32"/>
          <w:shd w:val="clear" w:color="auto" w:fill="FFFFFF"/>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3.艾某等与刘某股权转让纠纷上诉案</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4.沈某与叶某等股权转让纠纷案</w:t>
      </w:r>
    </w:p>
    <w:p/>
    <w:sectPr>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10DEE"/>
    <w:rsid w:val="04510DEE"/>
    <w:rsid w:val="43181CE0"/>
    <w:rsid w:val="46685BDC"/>
    <w:rsid w:val="49691C5F"/>
    <w:rsid w:val="619E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2021-03-14T13:47:00Z</dcterms:created>
  <dc:creator>Administrator</dc:creator>
  <cp:lastModifiedBy>黄鳞</cp:lastModifiedBy>
  <cp:lastPrinted>2021-03-15T06:03:00Z</cp:lastPrinted>
  <dcterms:modified xsi:type="dcterms:W3CDTF">2021-03-15T08:06:58Z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