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Style w:val="6"/>
          <w:rFonts w:hint="eastAsia" w:ascii="黑体" w:hAnsi="黑体" w:eastAsia="黑体" w:cs="黑体"/>
          <w:color w:val="auto"/>
          <w:spacing w:val="8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lang w:val="en-US" w:eastAsia="zh-CN"/>
        </w:rPr>
        <w:t>房地产企业破产实务高研班培训内容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lang w:eastAsia="zh-CN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lang w:val="en-US" w:eastAsia="zh-CN"/>
        </w:rPr>
        <w:t>和师资安排</w:t>
      </w:r>
    </w:p>
    <w:tbl>
      <w:tblPr>
        <w:tblStyle w:val="4"/>
        <w:tblW w:w="10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3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（星期五）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9:00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-1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00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14:00—17:00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8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（一）房地产公司破产法律问题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1、购房合同的处理、预告登记权利人              2、宣告破产的条件</w:t>
            </w:r>
            <w:r>
              <w:rPr>
                <w:rFonts w:hint="eastAsia" w:ascii="微软雅黑" w:hAnsi="微软雅黑"/>
                <w:color w:val="auto"/>
                <w:szCs w:val="21"/>
              </w:rPr>
              <w:cr/>
            </w:r>
            <w:r>
              <w:rPr>
                <w:rFonts w:hint="eastAsia" w:ascii="微软雅黑" w:hAnsi="微软雅黑"/>
                <w:color w:val="auto"/>
                <w:szCs w:val="21"/>
              </w:rPr>
              <w:t>3、工程款债权优先顺位、优先标的、优先范围      4、房企破产中的在建工程处分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5、抵押债权：优先顺位、优先标的                6、对外投资的回收、运作和处理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（二）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房地产企业破产重整与和解实务——重整、重整式清算、预重整、和解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1、房企重整制度及其运行机理   2、房企重整程序的制度设计   3、重整的申请及受理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4、重整流程与重整管理模式选择 5、重整计划制作、表决、批准 6、重整计划执行及监督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7、房企债务重组方案与债转股   8、房企出资人权益调整方案   9、偿债资金的筹集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10、重整期间发生的债务处理    11、未申报债权的处理        12、债务的免除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13、预重整——庭外重组和庭内重整的衔接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ind w:firstLine="210" w:firstLineChars="100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（1）最高法院的表态及相关法院预重整审判指引 （2）预重整设计要点与运用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ind w:firstLine="210" w:firstLineChars="100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（3）管理人的指定和职责、中介机构选任与衔接 （4）府院联动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14、破产和解法律适用问题（1）重整和和解制度的区别 （2）和解申请与和解程序的终结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微软雅黑" w:hAnsi="微软雅黑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/>
                <w:color w:val="auto"/>
                <w:szCs w:val="21"/>
                <w:lang w:val="en-US" w:eastAsia="zh-CN"/>
              </w:rPr>
              <w:t>三</w:t>
            </w:r>
            <w:r>
              <w:rPr>
                <w:rFonts w:hint="eastAsia" w:ascii="微软雅黑" w:hAnsi="微软雅黑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/>
                <w:b/>
                <w:bCs/>
                <w:color w:val="auto"/>
                <w:szCs w:val="21"/>
                <w:lang w:eastAsia="zh-CN"/>
              </w:rPr>
              <w:t>管理人履职过程中重点问题与风险防控解析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default" w:ascii="微软雅黑" w:hAnsi="微软雅黑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/>
                <w:b/>
                <w:bCs/>
                <w:color w:val="auto"/>
                <w:szCs w:val="21"/>
                <w:lang w:val="en-US" w:eastAsia="zh-CN"/>
              </w:rPr>
              <w:t>四</w:t>
            </w:r>
            <w:r>
              <w:rPr>
                <w:rFonts w:hint="eastAsia" w:ascii="微软雅黑" w:hAnsi="微软雅黑"/>
                <w:b/>
                <w:bCs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债权人会议召开流程与注意事项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ascii="微软雅黑" w:hAnsi="微软雅黑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主讲专家：田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飞   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中山大学疑难法律研究中心兼职研究员；广东省破产法学会副秘书长；原广东省高级人民法院民二庭、破产审判庭（执行裁判庭）法官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1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（星期六）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0-1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0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0-1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8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从破产实务看最高院《民法典》担保部分司法解释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）债权申报审查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1、债权申报审查的程序规则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（1）债权“简易审判”（2）债权“个别审判”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2、债权申报审查的实体规则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ind w:firstLine="210" w:firstLineChars="100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（1）职工债权+人损债权（2）国家债权（3）普通债权（4）劣后债权（5）特殊审查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）债务人财产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1、取回财产与取回权的行使          2、债务人财产（别除财产与破产财产）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3、对别除债权的“个别清偿”        4、对普通债权的 “公平清偿”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）房企破产疑难解析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1、特别优先权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（1）两类购房人的不动产债权  （2）工程款债权  （3）抵押债权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2、在建工程处分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（1）处分程序                （2）处分方式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主讲专家：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某法官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法学博士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某中级人民法院审判委员会委员，多年破产审判实务经验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3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（星期日）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-1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0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0-1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0</w:t>
            </w:r>
          </w:p>
        </w:tc>
        <w:tc>
          <w:tcPr>
            <w:tcW w:w="8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房地产企业破产程序中的涉税问题——典型案例研讨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b/>
                <w:bCs/>
                <w:color w:val="auto"/>
                <w:szCs w:val="21"/>
              </w:rPr>
              <w:t>1、国家税务总局48号文解读</w:t>
            </w:r>
            <w:r>
              <w:rPr>
                <w:rFonts w:hint="eastAsia" w:ascii="微软雅黑" w:hAnsi="微软雅黑"/>
                <w:color w:val="auto"/>
                <w:szCs w:val="21"/>
              </w:rPr>
              <w:t>：企业破产清算程序中的税收征管问题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b/>
                <w:bCs/>
                <w:color w:val="auto"/>
                <w:szCs w:val="21"/>
              </w:rPr>
              <w:t>2、房企涉税问题：</w:t>
            </w:r>
            <w:r>
              <w:rPr>
                <w:rFonts w:hint="eastAsia" w:ascii="微软雅黑" w:hAnsi="微软雅黑"/>
                <w:color w:val="auto"/>
                <w:szCs w:val="21"/>
              </w:rPr>
              <w:t>契税；土地增值税；企业所得税；房产税和城镇土地使用税；增值税</w:t>
            </w:r>
            <w:r>
              <w:rPr>
                <w:rFonts w:hint="eastAsia" w:ascii="微软雅黑" w:hAnsi="微软雅黑"/>
                <w:color w:val="auto"/>
                <w:szCs w:val="21"/>
              </w:rPr>
              <w:cr/>
            </w:r>
            <w:r>
              <w:rPr>
                <w:rFonts w:hint="eastAsia" w:ascii="微软雅黑" w:hAnsi="微软雅黑"/>
                <w:b/>
                <w:bCs/>
                <w:color w:val="auto"/>
                <w:szCs w:val="21"/>
              </w:rPr>
              <w:t>3、房地产企业破产清算涉税问题</w:t>
            </w:r>
            <w:r>
              <w:rPr>
                <w:rFonts w:hint="eastAsia" w:ascii="微软雅黑" w:hAnsi="微软雅黑"/>
                <w:color w:val="auto"/>
                <w:szCs w:val="21"/>
              </w:rPr>
              <w:cr/>
            </w:r>
            <w:r>
              <w:rPr>
                <w:rFonts w:hint="eastAsia" w:ascii="微软雅黑" w:hAnsi="微软雅黑"/>
                <w:color w:val="auto"/>
                <w:szCs w:val="21"/>
              </w:rPr>
              <w:t>（1）税收强制执行不宜适用破产撤销（2）保全解除与执行中止  （3）税收优先权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（4）税收债权的申报义务          （5）年度中间的汇算清缴  （6）清算所得税的计算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（7）破产程序中新生税款的定性    （8）非正常户：认定和解除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 xml:space="preserve">（9）特殊成因的欠税及其他税收债权优先性  （10）税收债权的清偿形式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（10）破产管理人的涉税角色与职责         （12）资产拍卖税费转嫁的合法性与操作性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（13）破产清算税收优惠政策               （14）受偿入库与剩余核销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b/>
                <w:bCs/>
                <w:color w:val="auto"/>
                <w:szCs w:val="21"/>
              </w:rPr>
            </w:pPr>
            <w:r>
              <w:rPr>
                <w:rFonts w:hint="eastAsia" w:ascii="微软雅黑" w:hAnsi="微软雅黑"/>
                <w:b/>
                <w:bCs/>
                <w:color w:val="auto"/>
                <w:szCs w:val="21"/>
              </w:rPr>
              <w:t>4、房地产企业破产重整涉税问题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15" w:line="230" w:lineRule="exact"/>
              <w:textAlignment w:val="auto"/>
              <w:rPr>
                <w:rFonts w:hint="eastAsia" w:ascii="微软雅黑" w:hAnsi="微软雅黑"/>
                <w:color w:val="auto"/>
                <w:szCs w:val="21"/>
              </w:rPr>
            </w:pPr>
            <w:r>
              <w:rPr>
                <w:rFonts w:hint="eastAsia" w:ascii="微软雅黑" w:hAnsi="微软雅黑"/>
                <w:color w:val="auto"/>
                <w:szCs w:val="21"/>
              </w:rPr>
              <w:t>（1）破产重整税收支持性政策  （2）重整计划草案批准 （3）未受偿债权（</w:t>
            </w:r>
            <w:r>
              <w:rPr>
                <w:rFonts w:hint="eastAsia" w:ascii="微软雅黑" w:hAnsi="微软雅黑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/>
                <w:color w:val="auto"/>
                <w:szCs w:val="21"/>
              </w:rPr>
              <w:t>）纳税信用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5" w:after="46" w:afterLines="15" w:line="23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主讲专家：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某老师   全国税务领军人才，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知名破产税务专家</w:t>
            </w:r>
          </w:p>
        </w:tc>
      </w:tr>
    </w:tbl>
    <w:p>
      <w:pPr>
        <w:spacing w:line="560" w:lineRule="exact"/>
        <w:ind w:left="-850" w:leftChars="-405" w:right="-901" w:rightChars="-429"/>
        <w:rPr>
          <w:rFonts w:hint="eastAsia" w:ascii="方正仿宋_GBK" w:hAnsi="宋体" w:eastAsia="方正仿宋_GBK" w:cs="仿宋_GB2312"/>
          <w:kern w:val="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4851400</wp:posOffset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pt;margin-top:-7.5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rSqi2AAAAAwBAAAPAAAAAAAAAAEAIAAAACIAAABkcnMvZG93&#10;bnJldi54bWxQSwECFAAUAAAACACHTuJA9Aknl8cBAACZAwAADgAAAAAAAAABACAAAAAn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260350</wp:posOffset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.5pt;margin-top:-7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78tptgAAAAK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41C89"/>
    <w:rsid w:val="276E17F2"/>
    <w:rsid w:val="765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黄鳞</dc:creator>
  <cp:lastModifiedBy>黄鳞</cp:lastModifiedBy>
  <cp:lastPrinted>2021-03-15T08:05:33Z</cp:lastPrinted>
  <dcterms:modified xsi:type="dcterms:W3CDTF">2021-03-15T08:05:44Z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