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727"/>
        <w:gridCol w:w="567"/>
        <w:gridCol w:w="1417"/>
        <w:gridCol w:w="1581"/>
        <w:gridCol w:w="1768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36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40"/>
                <w:szCs w:val="40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-101600</wp:posOffset>
                      </wp:positionV>
                      <wp:extent cx="1070610" cy="449580"/>
                      <wp:effectExtent l="0" t="0" r="15240" b="762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061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方正黑体_GBK" w:hAnsi="方正黑体_GBK" w:eastAsia="方正黑体_GBK" w:cs="方正黑体_GBK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方正黑体_GBK" w:hAnsi="方正黑体_GBK" w:eastAsia="方正黑体_GBK" w:cs="方正黑体_GBK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附件2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2.85pt;margin-top:-8pt;height:35.4pt;width:84.3pt;z-index:251677696;mso-width-relative:page;mso-height-relative:page;" fillcolor="#FFFFFF [3201]" filled="t" stroked="f" coordsize="21600,21600" o:gfxdata="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Whv/jVAAAACgEAAA8AAAAA&#10;AAAAAQAgAAAAIgAAAGRycy9kb3ducmV2LnhtbFBLAQIUABQAAAAIAIdO4kC1lvn3UAIAAI8EAAAO&#10;AAAAAAAAAAEAIAAAACQBAABkcnMvZTJvRG9jLnhtbFBLBQYAAAAABgAGAFkBAADm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方正黑体_GBK" w:hAnsi="方正黑体_GBK" w:eastAsia="方正黑体_GBK" w:cs="方正黑体_GBK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32"/>
                                <w:szCs w:val="32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40"/>
                <w:szCs w:val="40"/>
              </w:rPr>
              <w:t>律师事务所党建工作考评打分表(A表)</w:t>
            </w:r>
          </w:p>
          <w:p>
            <w:pPr>
              <w:rPr>
                <w:rFonts w:hint="default" w:ascii="Times New Roman" w:hAnsi="Times New Roman" w:cs="Times New Roman"/>
                <w:u w:val="single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党组织名称：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             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 xml:space="preserve">  所在地区：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省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市   考核日期：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年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 xml:space="preserve">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类别</w:t>
            </w:r>
          </w:p>
        </w:tc>
        <w:tc>
          <w:tcPr>
            <w:tcW w:w="72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项目</w:t>
            </w:r>
          </w:p>
        </w:tc>
        <w:tc>
          <w:tcPr>
            <w:tcW w:w="158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总分值</w:t>
            </w:r>
          </w:p>
        </w:tc>
        <w:tc>
          <w:tcPr>
            <w:tcW w:w="1768" w:type="dxa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得分</w:t>
            </w:r>
          </w:p>
        </w:tc>
        <w:tc>
          <w:tcPr>
            <w:tcW w:w="2127" w:type="dxa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（一）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政治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建设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30分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坚定政治信仰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坚持政治领导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执行政治路线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增强政治功能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768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1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（二）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组织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设置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13分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5A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单独党组织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党组织设立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6A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分所党组织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68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党小组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支部委员会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党务工作者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68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按期换届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（三）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工作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机制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19分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党建入章程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768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党组织作用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768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交叉任职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768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会商通报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党务公开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68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经费保障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（四）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组织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生活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21分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三会一课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组织生活会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民主评议党员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谈心谈话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主题党日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党员联系群众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党建活动场所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创新活动形式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（五）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党员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管理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17分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党员发展培养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组织关系接转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思想政治工作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党员管理监督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党费收缴管理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68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档案管理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768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附加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分项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表彰奖励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宣传推广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服务大局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处罚处分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-8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违纪问题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-8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7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不良影响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-8</w:t>
            </w: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889" w:type="dxa"/>
            <w:gridSpan w:val="4"/>
            <w:shd w:val="clear" w:color="auto" w:fill="auto"/>
            <w:vAlign w:val="center"/>
          </w:tcPr>
          <w:p>
            <w:pPr>
              <w:widowControl/>
              <w:tabs>
                <w:tab w:val="left" w:pos="1338"/>
              </w:tabs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总分</w:t>
            </w:r>
          </w:p>
        </w:tc>
        <w:tc>
          <w:tcPr>
            <w:tcW w:w="15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8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kern w:val="0"/>
          <w:szCs w:val="21"/>
        </w:rPr>
      </w:pPr>
    </w:p>
    <w:p>
      <w:pPr>
        <w:widowControl/>
        <w:jc w:val="left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kern w:val="0"/>
          <w:sz w:val="18"/>
          <w:szCs w:val="18"/>
        </w:rPr>
        <w:t>考评结果：</w:t>
      </w:r>
      <w:r>
        <w:rPr>
          <w:rFonts w:hint="default" w:ascii="Times New Roman" w:hAnsi="Times New Roman" w:cs="Times New Roman"/>
          <w:kern w:val="0"/>
          <w:sz w:val="18"/>
          <w:szCs w:val="18"/>
          <w:u w:val="single"/>
        </w:rPr>
        <w:t xml:space="preserve">          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>（此处填写：不合格、规范化或示范化律师事务所党组织）</w:t>
      </w:r>
    </w:p>
    <w:p>
      <w:pPr>
        <w:widowControl/>
        <w:jc w:val="left"/>
        <w:rPr>
          <w:rFonts w:hint="default" w:ascii="Times New Roman" w:hAnsi="Times New Roman" w:cs="Times New Roman"/>
          <w:kern w:val="0"/>
          <w:sz w:val="18"/>
          <w:szCs w:val="18"/>
          <w:u w:val="single"/>
        </w:rPr>
      </w:pPr>
    </w:p>
    <w:p>
      <w:pPr>
        <w:widowControl/>
        <w:jc w:val="left"/>
        <w:rPr>
          <w:rFonts w:hint="default" w:ascii="Times New Roman" w:hAnsi="Times New Roman" w:cs="Times New Roman"/>
          <w:kern w:val="0"/>
          <w:sz w:val="18"/>
          <w:szCs w:val="18"/>
          <w:u w:val="single"/>
        </w:rPr>
      </w:pPr>
      <w:r>
        <w:rPr>
          <w:rFonts w:hint="default" w:ascii="Times New Roman" w:hAnsi="Times New Roman" w:cs="Times New Roman"/>
          <w:kern w:val="0"/>
          <w:sz w:val="18"/>
          <w:szCs w:val="18"/>
        </w:rPr>
        <w:t>考评人：</w:t>
      </w:r>
      <w:r>
        <w:rPr>
          <w:rFonts w:hint="default" w:ascii="Times New Roman" w:hAnsi="Times New Roman" w:cs="Times New Roman"/>
          <w:kern w:val="0"/>
          <w:sz w:val="18"/>
          <w:szCs w:val="18"/>
          <w:u w:val="single"/>
        </w:rPr>
        <w:t xml:space="preserve">                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>；   电话：</w:t>
      </w:r>
      <w:r>
        <w:rPr>
          <w:rFonts w:hint="default" w:ascii="Times New Roman" w:hAnsi="Times New Roman" w:cs="Times New Roman"/>
          <w:kern w:val="0"/>
          <w:sz w:val="18"/>
          <w:szCs w:val="18"/>
          <w:u w:val="single"/>
        </w:rPr>
        <w:t xml:space="preserve">         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>；  单位：</w:t>
      </w:r>
      <w:r>
        <w:rPr>
          <w:rFonts w:hint="default" w:ascii="Times New Roman" w:hAnsi="Times New Roman" w:cs="Times New Roman"/>
          <w:kern w:val="0"/>
          <w:sz w:val="18"/>
          <w:szCs w:val="18"/>
          <w:u w:val="single"/>
        </w:rPr>
        <w:t xml:space="preserve">          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。</w:t>
      </w:r>
      <w:r>
        <w:rPr>
          <w:rFonts w:hint="default" w:ascii="Times New Roman" w:hAnsi="Times New Roman" w:cs="Times New Roman"/>
          <w:kern w:val="0"/>
          <w:sz w:val="18"/>
          <w:szCs w:val="18"/>
          <w:u w:val="single"/>
        </w:rPr>
        <w:t xml:space="preserve">     </w:t>
      </w:r>
    </w:p>
    <w:p>
      <w:pPr>
        <w:widowControl/>
        <w:jc w:val="left"/>
        <w:rPr>
          <w:rFonts w:hint="default" w:ascii="Times New Roman" w:hAnsi="Times New Roman" w:cs="Times New Roman"/>
          <w:kern w:val="0"/>
          <w:sz w:val="18"/>
          <w:szCs w:val="18"/>
          <w:u w:val="single"/>
        </w:rPr>
      </w:pPr>
    </w:p>
    <w:p>
      <w:pPr>
        <w:widowControl/>
        <w:jc w:val="left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kern w:val="0"/>
          <w:sz w:val="18"/>
          <w:szCs w:val="18"/>
        </w:rPr>
        <w:t>复核人：</w:t>
      </w:r>
      <w:r>
        <w:rPr>
          <w:rFonts w:hint="default" w:ascii="Times New Roman" w:hAnsi="Times New Roman" w:cs="Times New Roman"/>
          <w:kern w:val="0"/>
          <w:sz w:val="18"/>
          <w:szCs w:val="18"/>
          <w:u w:val="single"/>
        </w:rPr>
        <w:t xml:space="preserve">                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>；   电话：</w:t>
      </w:r>
      <w:r>
        <w:rPr>
          <w:rFonts w:hint="default" w:ascii="Times New Roman" w:hAnsi="Times New Roman" w:cs="Times New Roman"/>
          <w:kern w:val="0"/>
          <w:sz w:val="18"/>
          <w:szCs w:val="18"/>
          <w:u w:val="single"/>
        </w:rPr>
        <w:t xml:space="preserve">         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>；  单位：</w:t>
      </w:r>
      <w:r>
        <w:rPr>
          <w:rFonts w:hint="default" w:ascii="Times New Roman" w:hAnsi="Times New Roman" w:cs="Times New Roman"/>
          <w:kern w:val="0"/>
          <w:sz w:val="18"/>
          <w:szCs w:val="18"/>
          <w:u w:val="single"/>
        </w:rPr>
        <w:t xml:space="preserve">          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。</w:t>
      </w:r>
    </w:p>
    <w:p>
      <w:pPr>
        <w:widowControl/>
        <w:jc w:val="left"/>
        <w:rPr>
          <w:rFonts w:hint="default" w:ascii="Times New Roman" w:hAnsi="Times New Roman" w:cs="Times New Roman"/>
          <w:kern w:val="0"/>
          <w:szCs w:val="21"/>
          <w:u w:val="single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说明：</w:t>
      </w:r>
    </w:p>
    <w:p>
      <w:pPr>
        <w:widowControl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1.本表适用于对</w:t>
      </w:r>
      <w:r>
        <w:rPr>
          <w:rFonts w:hint="default" w:ascii="Times New Roman" w:hAnsi="Times New Roman" w:eastAsia="仿宋_GB2312" w:cs="Times New Roman"/>
          <w:b/>
          <w:kern w:val="0"/>
          <w:sz w:val="24"/>
        </w:rPr>
        <w:t>单独设立的党组织（包括律师事务所党委、党总支、党支部）</w:t>
      </w:r>
      <w:r>
        <w:rPr>
          <w:rFonts w:hint="default" w:ascii="Times New Roman" w:hAnsi="Times New Roman" w:eastAsia="仿宋_GB2312" w:cs="Times New Roman"/>
          <w:bCs/>
          <w:kern w:val="0"/>
          <w:sz w:val="24"/>
        </w:rPr>
        <w:t>进行考评</w:t>
      </w:r>
      <w:r>
        <w:rPr>
          <w:rFonts w:hint="default" w:ascii="Times New Roman" w:hAnsi="Times New Roman" w:eastAsia="仿宋_GB2312" w:cs="Times New Roman"/>
          <w:kern w:val="0"/>
          <w:sz w:val="24"/>
        </w:rPr>
        <w:t>。</w:t>
      </w:r>
    </w:p>
    <w:p>
      <w:pPr>
        <w:widowControl/>
        <w:rPr>
          <w:rFonts w:hint="default" w:ascii="Times New Roman" w:hAnsi="Times New Roman" w:eastAsia="仿宋_GB2312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</w:rPr>
        <w:t>2.考评要求、评分标准及考评依据详见《律师事务所党建工作考评细则（试行）》。被考评党组织不适用某一项目时（如未设立分所），该项可以默认得满分。</w:t>
      </w:r>
    </w:p>
    <w:p>
      <w:pPr>
        <w:widowControl/>
        <w:jc w:val="left"/>
        <w:rPr>
          <w:rFonts w:hint="default" w:ascii="Times New Roman" w:hAnsi="Times New Roman" w:cs="Times New Roman"/>
        </w:rPr>
        <w:sectPr>
          <w:pgSz w:w="11906" w:h="16838"/>
          <w:pgMar w:top="1440" w:right="1797" w:bottom="1440" w:left="1797" w:header="851" w:footer="992" w:gutter="0"/>
          <w:pgNumType w:fmt="numberInDash"/>
          <w:cols w:space="425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2098" w:right="1587" w:bottom="136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75518"/>
    <w:rsid w:val="5CBF5693"/>
    <w:rsid w:val="6347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2020-12-31T08:18:00Z</dcterms:created>
  <dc:creator>未央</dc:creator>
  <cp:lastModifiedBy>未央</cp:lastModifiedBy>
  <dcterms:modified xsi:type="dcterms:W3CDTF">2020-12-31T08:18:56Z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