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D3" w:rsidRDefault="00791FD3" w:rsidP="00791FD3">
      <w:pPr>
        <w:spacing w:line="5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附件2</w:t>
      </w:r>
    </w:p>
    <w:p w:rsidR="00791FD3" w:rsidRDefault="00791FD3" w:rsidP="00791FD3">
      <w:pPr>
        <w:spacing w:line="300" w:lineRule="exact"/>
        <w:jc w:val="left"/>
        <w:rPr>
          <w:rFonts w:ascii="方正仿宋_GBK" w:eastAsia="方正仿宋_GBK" w:hAnsi="方正仿宋_GBK" w:cs="方正仿宋_GBK"/>
          <w:sz w:val="32"/>
          <w:szCs w:val="32"/>
        </w:rPr>
      </w:pPr>
    </w:p>
    <w:p w:rsidR="00791FD3" w:rsidRDefault="00791FD3" w:rsidP="00791FD3">
      <w:pPr>
        <w:spacing w:line="5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广西律师行业后进基层党组织整顿对象汇总表</w:t>
      </w:r>
    </w:p>
    <w:bookmarkEnd w:id="0"/>
    <w:p w:rsidR="00791FD3" w:rsidRPr="00583A01" w:rsidRDefault="00791FD3" w:rsidP="00791FD3">
      <w:pPr>
        <w:spacing w:line="500" w:lineRule="exact"/>
        <w:jc w:val="center"/>
        <w:rPr>
          <w:rFonts w:ascii="方正小标宋_GBK" w:eastAsia="方正小标宋_GBK" w:hAnsi="方正小标宋_GBK" w:cs="方正小标宋_GBK"/>
          <w:sz w:val="44"/>
          <w:szCs w:val="44"/>
        </w:rPr>
      </w:pPr>
    </w:p>
    <w:tbl>
      <w:tblPr>
        <w:tblStyle w:val="a3"/>
        <w:tblpPr w:leftFromText="180" w:rightFromText="180" w:vertAnchor="text" w:tblpXSpec="center" w:tblpY="1"/>
        <w:tblOverlap w:val="never"/>
        <w:tblW w:w="0" w:type="auto"/>
        <w:tblLook w:val="04A0" w:firstRow="1" w:lastRow="0" w:firstColumn="1" w:lastColumn="0" w:noHBand="0" w:noVBand="1"/>
      </w:tblPr>
      <w:tblGrid>
        <w:gridCol w:w="570"/>
        <w:gridCol w:w="1250"/>
        <w:gridCol w:w="1741"/>
        <w:gridCol w:w="1985"/>
        <w:gridCol w:w="1139"/>
        <w:gridCol w:w="6393"/>
        <w:gridCol w:w="574"/>
      </w:tblGrid>
      <w:tr w:rsidR="00791FD3" w:rsidTr="005649BE">
        <w:trPr>
          <w:trHeight w:val="485"/>
        </w:trPr>
        <w:tc>
          <w:tcPr>
            <w:tcW w:w="0" w:type="auto"/>
            <w:vMerge w:val="restart"/>
            <w:vAlign w:val="center"/>
          </w:tcPr>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序号</w:t>
            </w:r>
          </w:p>
        </w:tc>
        <w:tc>
          <w:tcPr>
            <w:tcW w:w="0" w:type="auto"/>
            <w:vMerge w:val="restart"/>
            <w:vAlign w:val="center"/>
          </w:tcPr>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律师事务所党组织名称</w:t>
            </w:r>
          </w:p>
        </w:tc>
        <w:tc>
          <w:tcPr>
            <w:tcW w:w="0" w:type="auto"/>
            <w:gridSpan w:val="3"/>
            <w:vAlign w:val="center"/>
          </w:tcPr>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存在的主要问题（勾选）</w:t>
            </w:r>
          </w:p>
        </w:tc>
        <w:tc>
          <w:tcPr>
            <w:tcW w:w="0" w:type="auto"/>
            <w:vMerge w:val="restart"/>
            <w:vAlign w:val="center"/>
          </w:tcPr>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联合党支部覆盖律师事务所超过5家</w:t>
            </w:r>
          </w:p>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的律师事务所名称</w:t>
            </w:r>
          </w:p>
        </w:tc>
        <w:tc>
          <w:tcPr>
            <w:tcW w:w="0" w:type="auto"/>
            <w:vMerge w:val="restart"/>
            <w:vAlign w:val="center"/>
          </w:tcPr>
          <w:p w:rsidR="00791FD3" w:rsidRDefault="00791FD3" w:rsidP="005649BE">
            <w:pPr>
              <w:spacing w:line="3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备注</w:t>
            </w:r>
          </w:p>
        </w:tc>
      </w:tr>
      <w:tr w:rsidR="00791FD3" w:rsidTr="005649BE">
        <w:trPr>
          <w:trHeight w:val="1475"/>
        </w:trPr>
        <w:tc>
          <w:tcPr>
            <w:tcW w:w="0" w:type="auto"/>
            <w:vMerge/>
            <w:vAlign w:val="center"/>
          </w:tcPr>
          <w:p w:rsidR="00791FD3" w:rsidRDefault="00791FD3" w:rsidP="005649BE">
            <w:pPr>
              <w:spacing w:line="500" w:lineRule="exact"/>
              <w:jc w:val="center"/>
              <w:rPr>
                <w:rFonts w:ascii="方正仿宋_GBK" w:eastAsia="方正仿宋_GBK" w:hAnsi="方正仿宋_GBK" w:cs="方正仿宋_GBK"/>
                <w:sz w:val="32"/>
                <w:szCs w:val="32"/>
              </w:rPr>
            </w:pPr>
          </w:p>
        </w:tc>
        <w:tc>
          <w:tcPr>
            <w:tcW w:w="0" w:type="auto"/>
            <w:vMerge/>
            <w:vAlign w:val="center"/>
          </w:tcPr>
          <w:p w:rsidR="00791FD3" w:rsidRDefault="00791FD3" w:rsidP="005649BE">
            <w:pPr>
              <w:spacing w:line="500" w:lineRule="exact"/>
              <w:jc w:val="center"/>
              <w:rPr>
                <w:rFonts w:ascii="方正仿宋_GBK" w:eastAsia="方正仿宋_GBK" w:hAnsi="方正仿宋_GBK" w:cs="方正仿宋_GBK"/>
                <w:sz w:val="32"/>
                <w:szCs w:val="32"/>
              </w:rPr>
            </w:pPr>
          </w:p>
        </w:tc>
        <w:tc>
          <w:tcPr>
            <w:tcW w:w="1741" w:type="dxa"/>
            <w:vAlign w:val="center"/>
          </w:tcPr>
          <w:p w:rsidR="00791FD3" w:rsidRPr="00332C5E" w:rsidRDefault="00791FD3" w:rsidP="005649BE">
            <w:pPr>
              <w:spacing w:line="300" w:lineRule="exact"/>
              <w:jc w:val="center"/>
              <w:rPr>
                <w:rFonts w:ascii="方正黑体_GBK" w:eastAsia="方正黑体_GBK" w:hAnsi="方正黑体_GBK" w:cs="方正黑体_GBK"/>
                <w:sz w:val="24"/>
              </w:rPr>
            </w:pPr>
            <w:r w:rsidRPr="00332C5E">
              <w:rPr>
                <w:rFonts w:ascii="方正黑体_GBK" w:eastAsia="方正黑体_GBK" w:hAnsi="方正黑体_GBK" w:cs="方正黑体_GBK" w:hint="eastAsia"/>
                <w:sz w:val="24"/>
              </w:rPr>
              <w:t>联合党支部覆盖流于形式、覆盖律师事务所超过5家</w:t>
            </w:r>
          </w:p>
        </w:tc>
        <w:tc>
          <w:tcPr>
            <w:tcW w:w="1985" w:type="dxa"/>
            <w:vAlign w:val="center"/>
          </w:tcPr>
          <w:p w:rsidR="00791FD3" w:rsidRPr="00332C5E" w:rsidRDefault="00791FD3" w:rsidP="005649BE">
            <w:pPr>
              <w:spacing w:line="300" w:lineRule="exact"/>
              <w:jc w:val="center"/>
              <w:rPr>
                <w:rFonts w:ascii="方正黑体_GBK" w:eastAsia="方正黑体_GBK" w:hAnsi="方正黑体_GBK" w:cs="方正黑体_GBK"/>
                <w:sz w:val="24"/>
              </w:rPr>
            </w:pPr>
            <w:r w:rsidRPr="00332C5E">
              <w:rPr>
                <w:rFonts w:ascii="方正黑体_GBK" w:eastAsia="方正黑体_GBK" w:hAnsi="方正黑体_GBK" w:cs="方正黑体_GBK" w:hint="eastAsia"/>
                <w:sz w:val="24"/>
              </w:rPr>
              <w:t>联合党支部覆盖的律师事务所都是小所且活动开展不经常或党组织活动不经常</w:t>
            </w:r>
          </w:p>
        </w:tc>
        <w:tc>
          <w:tcPr>
            <w:tcW w:w="1139" w:type="dxa"/>
            <w:vAlign w:val="center"/>
          </w:tcPr>
          <w:p w:rsidR="00791FD3" w:rsidRPr="00332C5E" w:rsidRDefault="00791FD3" w:rsidP="005649BE">
            <w:pPr>
              <w:spacing w:line="300" w:lineRule="exact"/>
              <w:jc w:val="center"/>
              <w:rPr>
                <w:rFonts w:ascii="方正黑体_GBK" w:eastAsia="方正黑体_GBK" w:hAnsi="方正黑体_GBK" w:cs="方正黑体_GBK"/>
                <w:sz w:val="24"/>
              </w:rPr>
            </w:pPr>
            <w:r w:rsidRPr="00332C5E">
              <w:rPr>
                <w:rFonts w:ascii="方正黑体_GBK" w:eastAsia="方正黑体_GBK" w:hAnsi="方正黑体_GBK" w:cs="方正黑体_GBK" w:hint="eastAsia"/>
                <w:sz w:val="24"/>
              </w:rPr>
              <w:t>党组织班子配备不齐</w:t>
            </w:r>
          </w:p>
        </w:tc>
        <w:tc>
          <w:tcPr>
            <w:tcW w:w="0" w:type="auto"/>
            <w:vMerge/>
            <w:vAlign w:val="center"/>
          </w:tcPr>
          <w:p w:rsidR="00791FD3" w:rsidRDefault="00791FD3" w:rsidP="005649BE">
            <w:pPr>
              <w:spacing w:line="500" w:lineRule="exact"/>
              <w:jc w:val="left"/>
              <w:rPr>
                <w:rFonts w:ascii="方正仿宋_GBK" w:eastAsia="方正仿宋_GBK" w:hAnsi="方正仿宋_GBK" w:cs="方正仿宋_GBK"/>
                <w:sz w:val="32"/>
                <w:szCs w:val="32"/>
              </w:rPr>
            </w:pPr>
          </w:p>
        </w:tc>
        <w:tc>
          <w:tcPr>
            <w:tcW w:w="0" w:type="auto"/>
            <w:vMerge/>
            <w:vAlign w:val="center"/>
          </w:tcPr>
          <w:p w:rsidR="00791FD3" w:rsidRDefault="00791FD3" w:rsidP="005649BE">
            <w:pPr>
              <w:spacing w:line="500" w:lineRule="exact"/>
              <w:jc w:val="center"/>
              <w:rPr>
                <w:rFonts w:ascii="方正仿宋_GBK" w:eastAsia="方正仿宋_GBK" w:hAnsi="方正仿宋_GBK" w:cs="方正仿宋_GBK"/>
                <w:sz w:val="32"/>
                <w:szCs w:val="32"/>
              </w:rPr>
            </w:pPr>
          </w:p>
        </w:tc>
      </w:tr>
      <w:tr w:rsidR="00791FD3" w:rsidTr="005649BE">
        <w:trPr>
          <w:trHeight w:val="1797"/>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南宁市律师协会第一联合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协约律师事务所、广西东博律师事务所、广西金中大律师事务所、广西楚林律师事务所、广西佳宾律师事务所、广西铭荟律师事务所、广西诚上金律师事务所、广西龙登律师事务所、广西共恒律师事务所、广西惠金律师事务所、广西承汇律师事务所、广西胜涛律师事务所、广西宁泽律师事务所、广西崇泰律师事务所、广西友宁律师事务所、广西金懿晟律师事务所、广西合运律师事务所、广西新鸣律师事务所、广西辰亿律师事务所、广西齐庄律师事务所、广西钰锦律师事务所、广西尚盟律师事务所</w:t>
            </w: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南宁市</w:t>
            </w:r>
          </w:p>
        </w:tc>
      </w:tr>
      <w:tr w:rsidR="00791FD3" w:rsidTr="005649BE">
        <w:trPr>
          <w:trHeight w:val="631"/>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南宁市律师协会第二联合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广西元胜律师事务所、广西吉强律师事务所、广西中龙律师事务所、广西源慧律师事务所、广西成一律师事务所、广西昭盛律师事务所、北京</w:t>
            </w:r>
            <w:proofErr w:type="gramStart"/>
            <w:r>
              <w:rPr>
                <w:rFonts w:ascii="方正仿宋_GBK" w:eastAsia="方正仿宋_GBK" w:hAnsi="方正仿宋_GBK" w:cs="方正仿宋_GBK"/>
                <w:sz w:val="24"/>
              </w:rPr>
              <w:t>颐</w:t>
            </w:r>
            <w:proofErr w:type="gramEnd"/>
            <w:r>
              <w:rPr>
                <w:rFonts w:ascii="方正仿宋_GBK" w:eastAsia="方正仿宋_GBK" w:hAnsi="方正仿宋_GBK" w:cs="方正仿宋_GBK"/>
                <w:sz w:val="24"/>
              </w:rPr>
              <w:t>合中鸿（南宁）律师事务、广西领地律师事务所、广西江竹律师事务所、广西沃诚律师事务所、广西全德律师事务所、广西胜展律师事务所、广西正矩律师事务所、广西昭威律师事务所、广西广司律师事务所、广西航洋律师事务所、广西灿星律师事务所、广西沵达律师事务所（原奎路所）、广西林鹰律师事务所</w:t>
            </w: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南宁市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3</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南宁市律师协会第三联合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厚荣律师事务所、广西科豪律师事务所、广西佳丰律师事务所、广西庚儒明律师事务所、广西梁栋律师事务所、广西程和程律师事务所、广西桂玺律师事务所、广西国桂律师事务所、北京市金开（南宁）律师事务所、广西万晖律师事务所、广西诚瑞（南宁）律师事务所、广西广仕律师事务所、广西昭亮律师事务所、广西信德嘉律师事务所、广西善仁律师事务所、广西作一律师事务所、广西桂胜律师事务所、广西观复律师事务所、广西冠鸿律师事务所、广西圆非律师事务所、广西智森律师事务所</w:t>
            </w:r>
            <w:r>
              <w:rPr>
                <w:rFonts w:ascii="方正仿宋_GBK" w:eastAsia="方正仿宋_GBK" w:hAnsi="方正仿宋_GBK" w:cs="方正仿宋_GBK" w:hint="eastAsia"/>
                <w:sz w:val="24"/>
              </w:rPr>
              <w:t>、</w:t>
            </w:r>
            <w:r>
              <w:rPr>
                <w:rFonts w:ascii="方正仿宋_GBK" w:eastAsia="方正仿宋_GBK" w:hAnsi="方正仿宋_GBK" w:cs="方正仿宋_GBK"/>
                <w:sz w:val="24"/>
              </w:rPr>
              <w:t>广西桂新律师事务所</w:t>
            </w: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南宁市</w:t>
            </w:r>
          </w:p>
        </w:tc>
      </w:tr>
      <w:tr w:rsidR="00791FD3" w:rsidTr="005649BE">
        <w:trPr>
          <w:trHeight w:val="90"/>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柳州市律师事务所联合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旺国律师事务所（已成立党支部）、广西万然律师事务所（拟组建党支部）、广西闻名律师事务所、广西弘邦律师事务所、广西华恒信律师事务所、广西甲天下律师事务所、广西华怡律师事务所、广西道森（柳州）律师事务所、广西启辉律师事务所、广西云观律师事务所、广西全德（柳州）律师事务所、广西都乐律师事务所、柳州市律师协会、广西万远律师事务所、广西昶明律师事务所、广西航银律师事务所、广西衡生律师事务所、广西银荔律师事务所、广西三创律师事务所</w:t>
            </w: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柳州市</w:t>
            </w:r>
          </w:p>
        </w:tc>
      </w:tr>
      <w:tr w:rsidR="00791FD3" w:rsidTr="005649BE">
        <w:trPr>
          <w:trHeight w:val="789"/>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浦北县律师联合</w:t>
            </w:r>
            <w:r>
              <w:rPr>
                <w:rFonts w:ascii="方正仿宋_GBK" w:eastAsia="方正仿宋_GBK" w:hAnsi="方正仿宋_GBK" w:cs="方正仿宋_GBK" w:hint="eastAsia"/>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广西越洲律师事务所、广西港天律师事务所、广西桂风律师事务所、广西桂展律师事务所、广西海竞律师事务所、广西邦浦律师事务所</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钦州市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钦州市市直律师联合党支部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广西立辉律师事务所、广西众厚律师事务所、广西海湾律师事务所、广西华际律师事务所、广西环洋律师事务所、广西铭雄律师事务所、广西华宣律师事务所</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钦州市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c>
          <w:tcPr>
            <w:tcW w:w="0" w:type="auto"/>
            <w:vAlign w:val="center"/>
          </w:tcPr>
          <w:p w:rsidR="00791FD3" w:rsidRDefault="00791FD3" w:rsidP="005649BE">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玉林市市直律师事务所联合党支部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广西鸿州律师事务所、广西振祺律师事务所、广西三益律师事务所、广西典圣律师事务所、广西纳百川律师</w:t>
            </w:r>
            <w:proofErr w:type="gramStart"/>
            <w:r>
              <w:rPr>
                <w:rFonts w:ascii="方正仿宋_GBK" w:eastAsia="方正仿宋_GBK" w:hAnsi="方正仿宋_GBK" w:cs="方正仿宋_GBK"/>
                <w:sz w:val="24"/>
              </w:rPr>
              <w:t>务</w:t>
            </w:r>
            <w:proofErr w:type="gramEnd"/>
            <w:r>
              <w:rPr>
                <w:rFonts w:ascii="方正仿宋_GBK" w:eastAsia="方正仿宋_GBK" w:hAnsi="方正仿宋_GBK" w:cs="方正仿宋_GBK"/>
                <w:sz w:val="24"/>
              </w:rPr>
              <w:t>所、广西金大地律师事务所、广西桂竞天律师事务所、广西毅少传律师事务所</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玉林市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8</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金城江区律师联合党支部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00" w:lineRule="exact"/>
              <w:jc w:val="left"/>
              <w:rPr>
                <w:rFonts w:ascii="方正仿宋_GBK" w:eastAsia="方正仿宋_GBK" w:hAnsi="方正仿宋_GBK" w:cs="方正仿宋_GBK"/>
                <w:sz w:val="24"/>
              </w:rPr>
            </w:pPr>
            <w:r>
              <w:rPr>
                <w:rFonts w:ascii="方正仿宋_GBK" w:eastAsia="方正仿宋_GBK" w:hAnsi="方正仿宋_GBK" w:cs="方正仿宋_GBK"/>
                <w:sz w:val="24"/>
              </w:rPr>
              <w:t>广西博爱律师事务所、广西河城律师事务所、广西科悦律师事务所、广西真意律师事务所、广西飞度律师事务所、广西弘生联合律师事务所、广西锐勇律师事务所、广西政岐利律师事务所</w:t>
            </w: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河池市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广西信尔泓达律师事务所</w:t>
            </w:r>
          </w:p>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党</w:t>
            </w:r>
            <w:r>
              <w:rPr>
                <w:rFonts w:ascii="方正仿宋_GBK" w:eastAsia="方正仿宋_GBK" w:hAnsi="方正仿宋_GBK" w:cs="方正仿宋_GBK"/>
                <w:sz w:val="24"/>
              </w:rPr>
              <w:t>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来宾市</w:t>
            </w:r>
            <w:proofErr w:type="gramEnd"/>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广西华尚（来宾）律师</w:t>
            </w:r>
          </w:p>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事务所</w:t>
            </w:r>
            <w:r>
              <w:rPr>
                <w:rFonts w:ascii="方正仿宋_GBK" w:eastAsia="方正仿宋_GBK" w:hAnsi="方正仿宋_GBK" w:cs="方正仿宋_GBK" w:hint="eastAsia"/>
                <w:sz w:val="24"/>
              </w:rPr>
              <w:t>党</w:t>
            </w:r>
            <w:r>
              <w:rPr>
                <w:rFonts w:ascii="方正仿宋_GBK" w:eastAsia="方正仿宋_GBK" w:hAnsi="方正仿宋_GBK" w:cs="方正仿宋_GBK"/>
                <w:sz w:val="24"/>
              </w:rPr>
              <w:t>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proofErr w:type="gramStart"/>
            <w:r>
              <w:rPr>
                <w:rFonts w:ascii="方正仿宋_GBK" w:eastAsia="方正仿宋_GBK" w:hAnsi="方正仿宋_GBK" w:cs="方正仿宋_GBK" w:hint="eastAsia"/>
                <w:sz w:val="24"/>
              </w:rPr>
              <w:t>来宾市</w:t>
            </w:r>
            <w:proofErr w:type="gramEnd"/>
          </w:p>
        </w:tc>
      </w:tr>
      <w:tr w:rsidR="00791FD3" w:rsidTr="005649BE">
        <w:trPr>
          <w:trHeight w:val="645"/>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广西诺尔律师事务所党支部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崇左市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广西大腾律师事务所联合</w:t>
            </w:r>
          </w:p>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崇左市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广西帮达律师事务所联合</w:t>
            </w:r>
          </w:p>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崇左市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14</w:t>
            </w:r>
          </w:p>
        </w:tc>
        <w:tc>
          <w:tcPr>
            <w:tcW w:w="0" w:type="auto"/>
            <w:vAlign w:val="center"/>
          </w:tcPr>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广西越桂律师事务所联合</w:t>
            </w:r>
          </w:p>
          <w:p w:rsidR="00791FD3" w:rsidRDefault="00791FD3" w:rsidP="005649BE">
            <w:pPr>
              <w:spacing w:line="2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崇左市</w:t>
            </w:r>
          </w:p>
        </w:tc>
      </w:tr>
      <w:tr w:rsidR="00791FD3" w:rsidTr="005649BE">
        <w:trPr>
          <w:trHeight w:val="610"/>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15</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扶绥律师事务所联合</w:t>
            </w:r>
            <w:r>
              <w:rPr>
                <w:rFonts w:ascii="方正仿宋_GBK" w:eastAsia="方正仿宋_GBK" w:hAnsi="方正仿宋_GBK" w:cs="方正仿宋_GBK" w:hint="eastAsia"/>
                <w:sz w:val="24"/>
              </w:rPr>
              <w:t>党</w:t>
            </w:r>
            <w:r>
              <w:rPr>
                <w:rFonts w:ascii="方正仿宋_GBK" w:eastAsia="方正仿宋_GBK" w:hAnsi="方正仿宋_GBK" w:cs="方正仿宋_GBK"/>
                <w:sz w:val="24"/>
              </w:rPr>
              <w:t>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崇左市</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16</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北京市尚衡（南宁）律师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事务所党支部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区直所</w:t>
            </w:r>
          </w:p>
        </w:tc>
      </w:tr>
      <w:tr w:rsidR="00791FD3" w:rsidTr="005649BE">
        <w:trPr>
          <w:trHeight w:val="690"/>
        </w:trPr>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17</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广西祥泰律师事务所党支部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区直所</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18</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广西金桂北斗律师事务所</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区直所</w:t>
            </w:r>
          </w:p>
        </w:tc>
      </w:tr>
      <w:tr w:rsidR="00791FD3" w:rsidTr="005649BE">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19</w:t>
            </w:r>
          </w:p>
        </w:tc>
        <w:tc>
          <w:tcPr>
            <w:tcW w:w="0" w:type="auto"/>
            <w:vAlign w:val="center"/>
          </w:tcPr>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区直律师事务所第三联合</w:t>
            </w:r>
          </w:p>
          <w:p w:rsidR="00791FD3" w:rsidRDefault="00791FD3" w:rsidP="005649BE">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党支部</w:t>
            </w:r>
          </w:p>
        </w:tc>
        <w:tc>
          <w:tcPr>
            <w:tcW w:w="1741"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1985" w:type="dxa"/>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sz w:val="24"/>
              </w:rPr>
              <w:t>√</w:t>
            </w:r>
          </w:p>
        </w:tc>
        <w:tc>
          <w:tcPr>
            <w:tcW w:w="1139" w:type="dxa"/>
            <w:vAlign w:val="center"/>
          </w:tcPr>
          <w:p w:rsidR="00791FD3" w:rsidRDefault="00791FD3" w:rsidP="005649BE">
            <w:pPr>
              <w:spacing w:line="380" w:lineRule="exact"/>
              <w:jc w:val="center"/>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left"/>
              <w:rPr>
                <w:rFonts w:ascii="方正仿宋_GBK" w:eastAsia="方正仿宋_GBK" w:hAnsi="方正仿宋_GBK" w:cs="方正仿宋_GBK"/>
                <w:sz w:val="24"/>
              </w:rPr>
            </w:pPr>
          </w:p>
        </w:tc>
        <w:tc>
          <w:tcPr>
            <w:tcW w:w="0" w:type="auto"/>
            <w:vAlign w:val="center"/>
          </w:tcPr>
          <w:p w:rsidR="00791FD3" w:rsidRDefault="00791FD3" w:rsidP="005649BE">
            <w:pPr>
              <w:spacing w:line="38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区直所</w:t>
            </w:r>
          </w:p>
        </w:tc>
      </w:tr>
    </w:tbl>
    <w:p w:rsidR="00791FD3" w:rsidRDefault="00791FD3" w:rsidP="00791FD3">
      <w:pPr>
        <w:spacing w:line="500" w:lineRule="exact"/>
        <w:jc w:val="left"/>
        <w:rPr>
          <w:rFonts w:ascii="方正仿宋_GBK" w:eastAsia="方正仿宋_GBK" w:hAnsi="方正仿宋_GBK" w:cs="方正仿宋_GBK"/>
          <w:sz w:val="32"/>
          <w:szCs w:val="32"/>
        </w:rPr>
      </w:pPr>
    </w:p>
    <w:p w:rsidR="00BD352D" w:rsidRDefault="00BD352D"/>
    <w:sectPr w:rsidR="00BD352D" w:rsidSect="00332C5E">
      <w:pgSz w:w="16838" w:h="11906" w:orient="landscape"/>
      <w:pgMar w:top="1474" w:right="1588" w:bottom="1474" w:left="1588" w:header="851" w:footer="992" w:gutter="0"/>
      <w:cols w:space="0"/>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variable"/>
    <w:sig w:usb0="A00002BF" w:usb1="38CF7CFA" w:usb2="00082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3"/>
    <w:rsid w:val="00791FD3"/>
    <w:rsid w:val="00BD3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4E62-0994-4088-9761-AC593F5E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1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1F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2019-10-12T01:28:00Z</dcterms:created>
  <dcterms:modified xsi:type="dcterms:W3CDTF">2019-10-12T01:29:00Z</dcterms:modified>
</cp:coreProperties>
</file>