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b/>
          <w:bCs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pacing w:val="-20"/>
          <w:sz w:val="44"/>
          <w:szCs w:val="44"/>
        </w:rPr>
        <w:t>中南六省（区）2018律师论坛</w:t>
      </w:r>
      <w:r>
        <w:rPr>
          <w:rFonts w:hint="eastAsia" w:ascii="方正小标宋简体" w:hAnsi="仿宋" w:eastAsia="方正小标宋简体"/>
          <w:color w:val="000000"/>
          <w:spacing w:val="-20"/>
          <w:sz w:val="44"/>
          <w:szCs w:val="44"/>
        </w:rPr>
        <w:t>论文参考题目</w:t>
      </w:r>
    </w:p>
    <w:p>
      <w:pPr>
        <w:ind w:firstLine="320" w:firstLineChars="100"/>
        <w:jc w:val="left"/>
        <w:rPr>
          <w:rFonts w:ascii="黑体" w:hAnsi="黑体" w:eastAsia="黑体" w:cs="黑体"/>
          <w:sz w:val="32"/>
          <w:szCs w:val="32"/>
        </w:rPr>
      </w:pPr>
    </w:p>
    <w:p>
      <w:pPr>
        <w:ind w:firstLine="320" w:firstLineChars="1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一、区块链金融风险与法律规制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1．区块链技术应用及其法律问题研究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2．区块链企业和项目的法律规划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3．区块链行业的风险控制方案设计和措施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4．区块链行业的合规模式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5．区块链技术在律师行业的应用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6．区块链企业和项目的劣后处置机制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7．区块链行业金融犯罪的形式与防范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8．区块链技术背景下律师业务的拓展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9．推动《区块链行业法律意见书的》普及的建议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10．其他相关议题</w:t>
      </w:r>
    </w:p>
    <w:p>
      <w:pPr>
        <w:ind w:firstLine="320" w:firstLineChars="1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二、律师调解标准化构建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1．律师调解与共治共享社会治理格局的构建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2．互联网信息化背景下律师调解的创新思考</w:t>
      </w:r>
      <w:bookmarkStart w:id="0" w:name="_GoBack"/>
      <w:bookmarkEnd w:id="0"/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3．律师调解制度与在线纠纷解决机制的结合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4．律师诉讼代理人与职业调解人职业定位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5．律师在诉调衔接机制中的作用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6．律师调解工作标准化构建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7．律师参与社区纠纷调解的思考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8．行业性专业性调解机构的发展与建议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9．律师调解在自贸区商事纠纷解决中的作用及发展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10．无异议调解方案认可机制的建立与完善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11．中国律师调解的现状和存在的问题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12．国外律师调解模式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13．其他相关议题</w:t>
      </w:r>
    </w:p>
    <w:p>
      <w:pPr>
        <w:ind w:firstLine="320" w:firstLineChars="1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三、青年律师成长与发展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1．党建中的青年律师工作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2．公共法律服务与青年律师的发展机遇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3．青年律师业务创新的路径和优势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4．青年律师的职业规划和业务拓展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5．青年律师的修德与精业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6．青年律师的法律信仰和专业素养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7．青年律师社会责任的担当与公益服务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8．从新媒体自媒体的视角打造青年律师的业务平台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9．青年律师专业形象和行业先锋力量的塑造与发挥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10．青年律师执业风险与防范</w:t>
      </w:r>
    </w:p>
    <w:p>
      <w:pPr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11．浅议律师行业的师徒关系</w:t>
      </w:r>
    </w:p>
    <w:p>
      <w:r>
        <w:rPr>
          <w:rFonts w:hint="eastAsia" w:ascii="仿宋" w:hAnsi="仿宋" w:eastAsia="仿宋" w:cs="仿宋"/>
          <w:sz w:val="32"/>
          <w:szCs w:val="32"/>
        </w:rPr>
        <w:t>12．青年律师过度营销与执业纪律的边界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3000509000000000000"/>
    <w:charset w:val="86"/>
    <w:family w:val="auto"/>
    <w:pitch w:val="default"/>
    <w:sig w:usb0="A00002BF" w:usb1="184F6CFA" w:usb2="00000012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3"/>
    <w:rsid w:val="00055806"/>
    <w:rsid w:val="006D1143"/>
    <w:rsid w:val="006F6E27"/>
    <w:rsid w:val="00991EC8"/>
    <w:rsid w:val="00DF39F2"/>
    <w:rsid w:val="00E15BF3"/>
    <w:rsid w:val="00F6704E"/>
    <w:rsid w:val="519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2018-08-02T07:48:00Z</dcterms:created>
  <dc:creator>WLN</dc:creator>
  <cp:lastModifiedBy>WLN</cp:lastModifiedBy>
  <dcterms:modified xsi:type="dcterms:W3CDTF">2018-08-02T07:54:46Z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