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79" w:rsidRDefault="00FB4679" w:rsidP="00FB4679">
      <w:pPr>
        <w:spacing w:line="360" w:lineRule="exact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附件1：</w:t>
      </w:r>
      <w:bookmarkStart w:id="0" w:name="_GoBack"/>
      <w:r>
        <w:rPr>
          <w:rFonts w:ascii="宋体" w:hint="eastAsia"/>
          <w:sz w:val="28"/>
        </w:rPr>
        <w:t>讲座日程安排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8358"/>
      </w:tblGrid>
      <w:tr w:rsidR="00FB4679" w:rsidTr="00066F1B">
        <w:trPr>
          <w:cantSplit/>
          <w:trHeight w:val="895"/>
          <w:jc w:val="center"/>
        </w:trPr>
        <w:tc>
          <w:tcPr>
            <w:tcW w:w="1747" w:type="dxa"/>
            <w:vAlign w:val="center"/>
          </w:tcPr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bCs/>
                  <w:szCs w:val="21"/>
                </w:rPr>
                <w:t>5月12日</w:t>
              </w:r>
            </w:smartTag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（星期五）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9:00-12:00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14:00-17:00</w:t>
            </w:r>
          </w:p>
        </w:tc>
        <w:tc>
          <w:tcPr>
            <w:tcW w:w="8358" w:type="dxa"/>
            <w:vAlign w:val="center"/>
          </w:tcPr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（一）困境企业的司法拯救：“破产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重整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”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的重点法律问题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及案例解析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重整制度概述</w:t>
            </w:r>
            <w:r>
              <w:rPr>
                <w:rFonts w:ascii="宋体" w:hAnsi="宋体" w:hint="eastAsia"/>
                <w:szCs w:val="21"/>
              </w:rPr>
              <w:t xml:space="preserve">               2、重整程序的制度设计     3、</w:t>
            </w:r>
            <w:r>
              <w:rPr>
                <w:rFonts w:ascii="宋体" w:hAnsi="宋体"/>
                <w:szCs w:val="21"/>
              </w:rPr>
              <w:t>重整的申请及受理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4、重整流程法律要点           5、</w:t>
            </w:r>
            <w:r>
              <w:rPr>
                <w:rFonts w:ascii="宋体" w:hAnsi="宋体"/>
                <w:szCs w:val="21"/>
              </w:rPr>
              <w:t>重整期间继续营业问题</w:t>
            </w:r>
            <w:r>
              <w:rPr>
                <w:rFonts w:ascii="宋体" w:hAnsi="宋体" w:hint="eastAsia"/>
                <w:szCs w:val="21"/>
              </w:rPr>
              <w:t xml:space="preserve">   6、重整计划草案制作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>
              <w:rPr>
                <w:rFonts w:ascii="宋体" w:hAnsi="宋体"/>
                <w:szCs w:val="21"/>
              </w:rPr>
              <w:t>出资人权益调整方案</w:t>
            </w:r>
            <w:r>
              <w:rPr>
                <w:rFonts w:ascii="宋体" w:hAnsi="宋体" w:hint="eastAsia"/>
                <w:szCs w:val="21"/>
              </w:rPr>
              <w:t xml:space="preserve">         8、</w:t>
            </w:r>
            <w:r>
              <w:rPr>
                <w:rFonts w:ascii="宋体" w:hAnsi="宋体"/>
                <w:szCs w:val="21"/>
              </w:rPr>
              <w:t>债务重组方案</w:t>
            </w:r>
            <w:r>
              <w:rPr>
                <w:rFonts w:ascii="宋体" w:hAnsi="宋体" w:hint="eastAsia"/>
                <w:szCs w:val="21"/>
              </w:rPr>
              <w:t>与债转股   9、</w:t>
            </w:r>
            <w:r>
              <w:rPr>
                <w:rFonts w:ascii="宋体" w:hAnsi="宋体"/>
                <w:szCs w:val="21"/>
              </w:rPr>
              <w:t>偿债资金的筹集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</w:t>
            </w:r>
            <w:r>
              <w:rPr>
                <w:rFonts w:ascii="宋体" w:hAnsi="宋体"/>
                <w:szCs w:val="21"/>
              </w:rPr>
              <w:t>重整计划草案的表决与批准</w:t>
            </w:r>
            <w:r>
              <w:rPr>
                <w:rFonts w:ascii="宋体" w:hAnsi="宋体" w:hint="eastAsia"/>
                <w:szCs w:val="21"/>
              </w:rPr>
              <w:t xml:space="preserve">  11、</w:t>
            </w:r>
            <w:r>
              <w:rPr>
                <w:rFonts w:ascii="宋体" w:hAnsi="宋体"/>
                <w:szCs w:val="21"/>
              </w:rPr>
              <w:t>未申报债权的处理</w:t>
            </w:r>
            <w:r>
              <w:rPr>
                <w:rFonts w:ascii="宋体" w:hAnsi="宋体" w:hint="eastAsia"/>
                <w:szCs w:val="21"/>
              </w:rPr>
              <w:t xml:space="preserve">      12、</w:t>
            </w:r>
            <w:r>
              <w:rPr>
                <w:rFonts w:ascii="宋体" w:hAnsi="宋体"/>
                <w:szCs w:val="21"/>
              </w:rPr>
              <w:t>债务的免除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13、重整期间发生的债务处理    14、重整计划执行的监督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（二）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司法拯救与非司法拯救的结合：预先重整制度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>
              <w:rPr>
                <w:rFonts w:ascii="宋体" w:hAnsi="宋体"/>
                <w:szCs w:val="21"/>
              </w:rPr>
              <w:t>预先重整程序概述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涵义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特点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价值</w:t>
            </w:r>
            <w:r>
              <w:rPr>
                <w:rFonts w:ascii="宋体" w:hAnsi="宋体" w:hint="eastAsia"/>
                <w:szCs w:val="21"/>
              </w:rPr>
              <w:t xml:space="preserve">   2、</w:t>
            </w:r>
            <w:r>
              <w:rPr>
                <w:rFonts w:ascii="宋体" w:hAnsi="宋体"/>
                <w:szCs w:val="21"/>
              </w:rPr>
              <w:t>预先重整程序运行的先决条件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预先重整与重整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庭外债务重组的比较</w:t>
            </w:r>
            <w:r>
              <w:rPr>
                <w:rFonts w:ascii="宋体" w:hAnsi="宋体" w:hint="eastAsia"/>
                <w:szCs w:val="21"/>
              </w:rPr>
              <w:t xml:space="preserve">   4</w:t>
            </w:r>
            <w:r>
              <w:rPr>
                <w:rFonts w:ascii="宋体" w:hAnsi="宋体"/>
                <w:szCs w:val="21"/>
              </w:rPr>
              <w:t>、预先重整程序的主要内容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主讲人：尹正友   炜衡律师事务所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高级合伙人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，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北京破产法学会副会长</w:t>
            </w:r>
          </w:p>
        </w:tc>
      </w:tr>
      <w:tr w:rsidR="00FB4679" w:rsidTr="00066F1B">
        <w:trPr>
          <w:cantSplit/>
          <w:trHeight w:val="895"/>
          <w:jc w:val="center"/>
        </w:trPr>
        <w:tc>
          <w:tcPr>
            <w:tcW w:w="1747" w:type="dxa"/>
            <w:vAlign w:val="center"/>
          </w:tcPr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bCs/>
                  <w:szCs w:val="21"/>
                </w:rPr>
                <w:t>5月13日</w:t>
              </w:r>
            </w:smartTag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（星期六）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9:00-12:00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14:00-17:00</w:t>
            </w:r>
          </w:p>
        </w:tc>
        <w:tc>
          <w:tcPr>
            <w:tcW w:w="8358" w:type="dxa"/>
            <w:vAlign w:val="center"/>
          </w:tcPr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（一）破产制度的基本框架与破产审判现状、动态分析及温州经验交流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1、破产制度的基本框架  2、破产审判现状、动态分析   3、破产基本流程、破产公告</w:t>
            </w:r>
            <w:r>
              <w:rPr>
                <w:rFonts w:ascii="宋体" w:hAnsi="宋体" w:hint="eastAsia"/>
                <w:szCs w:val="21"/>
              </w:rPr>
              <w:cr/>
              <w:t>4、破产各方参与人分类  5、温州经验交流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（二）破产法系列司法解释的理解与运用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1、破产案件受理条件的把握     2、破解“破产启动难”   3、准确认定债务人财产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4、民事诉讼法中的破产规范解释 5、执行案件移送破产审查 6、破产程序的特别规则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（三）关联企业的实质合并破产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1、关联企业及关联企业破产                  2、关联企业破产的实质合并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3、实质合并破产的适用规则、适用程序        4、实质合并破产的问题探讨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（四）破产费用与共益债务的理解与处理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1、破产费用和共益债务的理解与处理          2、破产费用和共益债务的清偿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（五）管理人工作的实践和探索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1、如何做好破产管理人工作：破产管理人基本业务规范；管理人工作的问题与思索；管理人业务的要点与创新；管理人工作中的注意事项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2、“</w:t>
            </w:r>
            <w:smartTag w:uri="urn:schemas-microsoft-com:office:smarttags" w:element="chmetcnv">
              <w:smartTagPr>
                <w:attr w:name="UnitName" w:val="”"/>
                <w:attr w:name="SourceValue" w:val="123456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Cs w:val="21"/>
                </w:rPr>
                <w:t>1234567”</w:t>
              </w:r>
            </w:smartTag>
            <w:r>
              <w:rPr>
                <w:rFonts w:ascii="宋体" w:hAnsi="宋体" w:hint="eastAsia"/>
                <w:szCs w:val="21"/>
              </w:rPr>
              <w:t>协奏法：一个基础；二个基点；三大程序；四大责任；五项职责；五大能力；六大难题；七大主体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3、“五大能力”共建法：法务能力；财务能力；税务能力；商务能力；政务能力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4、清单式要素指引法：接管清单模板、债权处理模板、调查笔录模板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5、债权人会议“十五项工作”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（六）破产（管理）实务探索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1、债权核查把握基础             2、用好债权人委员会     3、妥处涉“罪”问题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4、妥处破产财务问题的方法探索   5、妥处涉“税”问题     6、涉“地”问题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7、合理确定经营管理人员的责任   8、妥处“涉银行”问题   9、细节见证功力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10、充分利用互联网资源          11、具体方法探索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（七）积极探索破产重整的实践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1、重整程序“十八步”           2、重整计划草案与制定   3、重整工作基础与关键</w:t>
            </w:r>
          </w:p>
          <w:p w:rsidR="00FB4679" w:rsidRDefault="00FB4679" w:rsidP="00066F1B">
            <w:pPr>
              <w:pStyle w:val="NewNew"/>
              <w:spacing w:before="15" w:after="15" w:line="226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4、重整工作风险与提示           5、破产重整问题与探索   6、重整实例探讨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主讲人：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叶建平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 原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温州市瓯海区人民法院副院长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、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16年的破产案件审理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经验</w:t>
            </w:r>
          </w:p>
        </w:tc>
      </w:tr>
      <w:tr w:rsidR="00FB4679" w:rsidTr="00066F1B">
        <w:trPr>
          <w:cantSplit/>
          <w:trHeight w:val="895"/>
          <w:jc w:val="center"/>
        </w:trPr>
        <w:tc>
          <w:tcPr>
            <w:tcW w:w="1747" w:type="dxa"/>
            <w:vAlign w:val="center"/>
          </w:tcPr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smartTag w:uri="urn:schemas-microsoft-com:office:smarttags" w:element="chsdate">
              <w:smartTagPr>
                <w:attr w:name="Year" w:val="2017"/>
                <w:attr w:name="Month" w:val="5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bCs/>
                  <w:szCs w:val="21"/>
                </w:rPr>
                <w:t>5月14日</w:t>
              </w:r>
            </w:smartTag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（星期日）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9:00-12:00</w:t>
            </w:r>
          </w:p>
          <w:p w:rsidR="00FB4679" w:rsidRDefault="00FB4679" w:rsidP="00066F1B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13:30-16:30</w:t>
            </w:r>
          </w:p>
        </w:tc>
        <w:tc>
          <w:tcPr>
            <w:tcW w:w="8358" w:type="dxa"/>
            <w:vAlign w:val="center"/>
          </w:tcPr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（一）债权申报与确认中的实务问题探讨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1、债权申报、登记和审查             2、债权核查与异议债权确认诉讼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（二）公司强制清算实务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1、公司强制清算法律规范    2、强制清算的难点           3、强制清算关键环节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4、申请和受理              5、清算组的指定             6、债权申报和确认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7、无法清算案件的审理      8、强制清算程序的终结       9、强制清算衍生诉讼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10、清算方案的制定和确认   11、清算组成员的赔偿责任    12、清算义务人民事责任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（三）解散清算程序与破产程序的衔接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1、程序启动    2、管理人的衔接   3、清算事务的衔接     4、清算费用的衔接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（四）房地产企业破产案件的疑难问题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1、优先购买权问题       2、购房合同继续履行问题        3、工程款优先权</w:t>
            </w:r>
          </w:p>
          <w:p w:rsidR="00FB4679" w:rsidRDefault="00FB4679" w:rsidP="00066F1B">
            <w:pPr>
              <w:pStyle w:val="a4"/>
              <w:spacing w:before="15" w:after="15" w:line="226" w:lineRule="exact"/>
              <w:ind w:firstLineChars="0" w:firstLine="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4、以房抵债问题的处理   5、行政资质、许可的延期及变更  6、房地产企业的重整</w:t>
            </w:r>
          </w:p>
          <w:p w:rsidR="00FB4679" w:rsidRDefault="00FB4679" w:rsidP="00066F1B">
            <w:pPr>
              <w:pStyle w:val="a4"/>
              <w:spacing w:beforeLines="13" w:before="40" w:afterLines="13" w:after="40" w:line="226" w:lineRule="exact"/>
              <w:ind w:left="620" w:hangingChars="294" w:hanging="620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主讲人：陆晓燕 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北京破产法学会兼秘书长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；曾主审尚德电力破产重整等大要案件</w:t>
            </w:r>
          </w:p>
        </w:tc>
      </w:tr>
    </w:tbl>
    <w:p w:rsidR="001B704A" w:rsidRPr="00FB4679" w:rsidRDefault="00FB4679" w:rsidP="00FB4679">
      <w:pPr>
        <w:pStyle w:val="a4"/>
        <w:spacing w:beforeLines="15" w:before="46" w:afterLines="15" w:after="46" w:line="280" w:lineRule="exact"/>
        <w:ind w:firstLine="422"/>
        <w:jc w:val="center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因不可预见因素，主办单位保留个别专家及议题调整的权利，请以报到通知为准。</w:t>
      </w:r>
    </w:p>
    <w:sectPr w:rsidR="001B704A" w:rsidRPr="00FB4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9"/>
    <w:rsid w:val="001B704A"/>
    <w:rsid w:val="002E0287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D64C2D9"/>
  <w15:chartTrackingRefBased/>
  <w15:docId w15:val="{A550F7F5-E49D-4CAE-96A7-3A5BB6E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4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缩进 字符"/>
    <w:basedOn w:val="a0"/>
    <w:link w:val="a4"/>
    <w:rsid w:val="00FB4679"/>
    <w:rPr>
      <w:rFonts w:eastAsia="仿宋_GB2312"/>
      <w:sz w:val="28"/>
      <w:szCs w:val="24"/>
    </w:rPr>
  </w:style>
  <w:style w:type="paragraph" w:customStyle="1" w:styleId="NewNew">
    <w:name w:val="正文 New New"/>
    <w:rsid w:val="00FB4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a3"/>
    <w:rsid w:val="00FB4679"/>
    <w:pPr>
      <w:ind w:firstLineChars="200" w:firstLine="560"/>
    </w:pPr>
    <w:rPr>
      <w:rFonts w:asciiTheme="minorHAnsi" w:eastAsia="仿宋_GB2312" w:hAnsiTheme="minorHAnsi" w:cstheme="minorBidi"/>
      <w:sz w:val="28"/>
    </w:rPr>
  </w:style>
  <w:style w:type="character" w:customStyle="1" w:styleId="1">
    <w:name w:val="正文文本缩进 字符1"/>
    <w:basedOn w:val="a0"/>
    <w:uiPriority w:val="99"/>
    <w:semiHidden/>
    <w:rsid w:val="00FB4679"/>
    <w:rPr>
      <w:rFonts w:ascii="Times New Roman" w:eastAsia="宋体" w:hAnsi="Times New Roman" w:cs="Times New Roman"/>
      <w:szCs w:val="24"/>
    </w:rPr>
  </w:style>
  <w:style w:type="paragraph" w:customStyle="1" w:styleId="CharChar">
    <w:name w:val=" Char Char"/>
    <w:basedOn w:val="a"/>
    <w:rsid w:val="00FB467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2017-04-20T03:10:00Z</dcterms:created>
  <dcterms:modified xsi:type="dcterms:W3CDTF">2017-04-20T03:10:00Z</dcterms:modified>
</cp:coreProperties>
</file>