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249" w:rsidRPr="00422E75" w:rsidRDefault="00D93249" w:rsidP="00D93249">
      <w:pPr>
        <w:spacing w:line="360" w:lineRule="auto"/>
        <w:rPr>
          <w:rFonts w:ascii="黑体" w:eastAsia="黑体" w:hAnsi="仿宋" w:hint="eastAsia"/>
          <w:color w:val="000000"/>
          <w:sz w:val="32"/>
          <w:szCs w:val="32"/>
        </w:rPr>
      </w:pPr>
      <w:r w:rsidRPr="00422E75">
        <w:rPr>
          <w:rFonts w:ascii="黑体" w:eastAsia="黑体" w:hAnsi="仿宋" w:hint="eastAsia"/>
          <w:color w:val="000000"/>
          <w:sz w:val="32"/>
          <w:szCs w:val="32"/>
        </w:rPr>
        <w:t>附件</w:t>
      </w:r>
    </w:p>
    <w:p w:rsidR="00D93249" w:rsidRPr="00422E75" w:rsidRDefault="00D93249" w:rsidP="00D93249">
      <w:pPr>
        <w:spacing w:line="360" w:lineRule="auto"/>
        <w:jc w:val="center"/>
        <w:rPr>
          <w:rFonts w:ascii="方正小标宋简体" w:eastAsia="方正小标宋简体" w:hAnsi="仿宋" w:hint="eastAsia"/>
          <w:color w:val="000000"/>
          <w:sz w:val="44"/>
          <w:szCs w:val="44"/>
        </w:rPr>
      </w:pPr>
      <w:bookmarkStart w:id="0" w:name="_GoBack"/>
      <w:r w:rsidRPr="00422E75">
        <w:rPr>
          <w:rFonts w:ascii="方正小标宋简体" w:eastAsia="方正小标宋简体" w:hAnsi="仿宋" w:hint="eastAsia"/>
          <w:color w:val="000000"/>
          <w:sz w:val="44"/>
          <w:szCs w:val="44"/>
        </w:rPr>
        <w:t>论文参考题目</w:t>
      </w:r>
    </w:p>
    <w:bookmarkEnd w:id="0"/>
    <w:p w:rsidR="00D93249" w:rsidRPr="00422E75" w:rsidRDefault="00D93249" w:rsidP="00D93249">
      <w:pPr>
        <w:spacing w:line="560" w:lineRule="exact"/>
        <w:ind w:firstLineChars="200" w:firstLine="640"/>
        <w:rPr>
          <w:rFonts w:ascii="黑体" w:eastAsia="黑体" w:hAnsi="黑体"/>
          <w:color w:val="000000"/>
          <w:sz w:val="32"/>
          <w:szCs w:val="32"/>
        </w:rPr>
      </w:pPr>
      <w:r w:rsidRPr="00422E75">
        <w:rPr>
          <w:rFonts w:ascii="黑体" w:eastAsia="黑体" w:hAnsi="黑体" w:hint="eastAsia"/>
          <w:color w:val="000000"/>
          <w:sz w:val="32"/>
          <w:szCs w:val="32"/>
        </w:rPr>
        <w:t>一、“一带一路”和自贸区建设与律师服务</w:t>
      </w:r>
    </w:p>
    <w:p w:rsidR="00D93249" w:rsidRPr="00422E75" w:rsidRDefault="00D93249" w:rsidP="00D93249">
      <w:pPr>
        <w:spacing w:line="560" w:lineRule="exact"/>
        <w:ind w:firstLineChars="200" w:firstLine="640"/>
        <w:rPr>
          <w:rFonts w:ascii="仿宋_GB2312" w:eastAsia="仿宋_GB2312" w:hAnsi="等线" w:hint="eastAsia"/>
          <w:color w:val="000000"/>
          <w:sz w:val="32"/>
          <w:szCs w:val="32"/>
        </w:rPr>
      </w:pPr>
      <w:r w:rsidRPr="00422E75">
        <w:rPr>
          <w:rFonts w:ascii="仿宋_GB2312" w:eastAsia="仿宋_GB2312" w:hint="eastAsia"/>
          <w:color w:val="000000"/>
          <w:sz w:val="32"/>
          <w:szCs w:val="32"/>
        </w:rPr>
        <w:t>1.“一带一路”战略、自贸区建设相关政策以及相关法律服务政策的解读；</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2.“一带一路”、“自贸区”政策对法律服务的新机遇；</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3.适应构建对外开放经济新体制要求，律师如何服务我国外交工作大局和国家重大发展战略；</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4.律师在“一带一路”、“自贸区发展”建设中的作用发挥；</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5.涉外法律服务内容与服务标准；</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6.涉外律师人才培训机制建设；</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7.如何搭建“一带一路”国际律师合作平台；</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8. “一带一路”、自贸区建设律师业务开拓思路和服务产品介绍；</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9.如何打造律师事务所国际化品牌，提高我国律师业国际竞争力；</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10.党委政府对提高律师涉外法律水平的政策支持；</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11.律师涉外法律业务发展的困境与机遇；</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12.一带一路、自贸区建设战略背景下，律师事务所设立模式的创新。</w:t>
      </w:r>
    </w:p>
    <w:p w:rsidR="00D93249" w:rsidRPr="00422E75" w:rsidRDefault="00D93249" w:rsidP="00D93249">
      <w:pPr>
        <w:spacing w:line="560" w:lineRule="exact"/>
        <w:ind w:firstLineChars="200" w:firstLine="640"/>
        <w:rPr>
          <w:rFonts w:ascii="黑体" w:eastAsia="黑体" w:hAnsi="黑体" w:hint="eastAsia"/>
          <w:color w:val="000000"/>
          <w:sz w:val="32"/>
          <w:szCs w:val="32"/>
        </w:rPr>
      </w:pPr>
      <w:r w:rsidRPr="00422E75">
        <w:rPr>
          <w:rFonts w:ascii="黑体" w:eastAsia="黑体" w:hAnsi="黑体" w:hint="eastAsia"/>
          <w:color w:val="000000"/>
          <w:sz w:val="32"/>
          <w:szCs w:val="32"/>
        </w:rPr>
        <w:t>二、互联网+法律服务</w:t>
      </w:r>
    </w:p>
    <w:p w:rsidR="00D93249" w:rsidRPr="00422E75" w:rsidRDefault="00D93249" w:rsidP="00D93249">
      <w:pPr>
        <w:spacing w:line="560" w:lineRule="exact"/>
        <w:ind w:firstLineChars="200" w:firstLine="640"/>
        <w:rPr>
          <w:rFonts w:ascii="仿宋_GB2312" w:eastAsia="仿宋_GB2312" w:hAnsi="等线" w:hint="eastAsia"/>
          <w:color w:val="000000"/>
          <w:sz w:val="32"/>
          <w:szCs w:val="32"/>
        </w:rPr>
      </w:pPr>
      <w:r w:rsidRPr="00422E75">
        <w:rPr>
          <w:rFonts w:ascii="仿宋_GB2312" w:eastAsia="仿宋_GB2312" w:hint="eastAsia"/>
          <w:color w:val="000000"/>
          <w:sz w:val="32"/>
          <w:szCs w:val="32"/>
        </w:rPr>
        <w:t>1.互联网思维与法治建设；</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2.互联网时代与律师服务转型升级；</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lastRenderedPageBreak/>
        <w:t>3.互联网+对律师服务产品创新的启发；</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4.互联网法律服务市场现状与发展；</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5.律师服务对互联网工具的需求；</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6.互联网法律服务与律师传统服务；</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7.司法行政部门和律师协会应为律师行业提供的互联网平台和应用工具；</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8.互联网法律服务的利弊分析；</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9.律师</w:t>
      </w:r>
      <w:proofErr w:type="gramStart"/>
      <w:r w:rsidRPr="00422E75">
        <w:rPr>
          <w:rFonts w:ascii="仿宋_GB2312" w:eastAsia="仿宋_GB2312" w:hint="eastAsia"/>
          <w:color w:val="000000"/>
          <w:sz w:val="32"/>
          <w:szCs w:val="32"/>
        </w:rPr>
        <w:t>事务所微信营销</w:t>
      </w:r>
      <w:proofErr w:type="gramEnd"/>
      <w:r w:rsidRPr="00422E75">
        <w:rPr>
          <w:rFonts w:ascii="仿宋_GB2312" w:eastAsia="仿宋_GB2312" w:hint="eastAsia"/>
          <w:color w:val="000000"/>
          <w:sz w:val="32"/>
          <w:szCs w:val="32"/>
        </w:rPr>
        <w:t>与律师业务拓展；</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10.大数据与律师事务所管理；</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11.电子证据取证、举证、质证、保全等实务与技巧；</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12.网络侵权案件诉讼实务；</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13.互联网金融与法律实务；</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14.大数据与公司治理；</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15</w:t>
      </w:r>
      <w:r>
        <w:rPr>
          <w:rFonts w:ascii="仿宋_GB2312" w:eastAsia="仿宋_GB2312" w:hint="eastAsia"/>
          <w:color w:val="000000"/>
          <w:sz w:val="32"/>
          <w:szCs w:val="32"/>
        </w:rPr>
        <w:t>.</w:t>
      </w:r>
      <w:r w:rsidRPr="00422E75">
        <w:rPr>
          <w:rFonts w:ascii="仿宋_GB2312" w:eastAsia="仿宋_GB2312" w:hint="eastAsia"/>
          <w:color w:val="000000"/>
          <w:sz w:val="32"/>
          <w:szCs w:val="32"/>
        </w:rPr>
        <w:t>互联网时代下的个人信息保护。</w:t>
      </w:r>
    </w:p>
    <w:p w:rsidR="00D93249" w:rsidRPr="00422E75" w:rsidRDefault="00D93249" w:rsidP="00D93249">
      <w:pPr>
        <w:spacing w:line="560" w:lineRule="exact"/>
        <w:ind w:firstLineChars="200" w:firstLine="640"/>
        <w:rPr>
          <w:rFonts w:ascii="黑体" w:eastAsia="黑体" w:hAnsi="黑体" w:hint="eastAsia"/>
          <w:color w:val="000000"/>
          <w:sz w:val="32"/>
          <w:szCs w:val="32"/>
        </w:rPr>
      </w:pPr>
      <w:r w:rsidRPr="00422E75">
        <w:rPr>
          <w:rFonts w:ascii="黑体" w:eastAsia="黑体" w:hAnsi="黑体" w:hint="eastAsia"/>
          <w:color w:val="000000"/>
          <w:sz w:val="32"/>
          <w:szCs w:val="32"/>
        </w:rPr>
        <w:t>三、知识产权强国建设与律师服务</w:t>
      </w:r>
    </w:p>
    <w:p w:rsidR="00D93249" w:rsidRPr="00422E75" w:rsidRDefault="00D93249" w:rsidP="00D93249">
      <w:pPr>
        <w:spacing w:line="560" w:lineRule="exact"/>
        <w:ind w:firstLineChars="200" w:firstLine="640"/>
        <w:rPr>
          <w:rFonts w:ascii="仿宋_GB2312" w:eastAsia="仿宋_GB2312" w:hAnsi="等线" w:hint="eastAsia"/>
          <w:color w:val="000000"/>
          <w:sz w:val="32"/>
          <w:szCs w:val="32"/>
        </w:rPr>
      </w:pPr>
      <w:r w:rsidRPr="00422E75">
        <w:rPr>
          <w:rFonts w:ascii="仿宋_GB2312" w:eastAsia="仿宋_GB2312" w:hint="eastAsia"/>
          <w:color w:val="000000"/>
          <w:sz w:val="32"/>
          <w:szCs w:val="32"/>
        </w:rPr>
        <w:t>1．“一带一路”战略下的知识产权保护问题；</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2．我国知识产权商业化的现状与发展；</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3．我国专利运营的模式与发展；</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4．知识产权法院的设立对律师业务格局的影响；</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5．律师参与知识产权贯</w:t>
      </w:r>
      <w:proofErr w:type="gramStart"/>
      <w:r w:rsidRPr="00422E75">
        <w:rPr>
          <w:rFonts w:ascii="仿宋_GB2312" w:eastAsia="仿宋_GB2312" w:hint="eastAsia"/>
          <w:color w:val="000000"/>
          <w:sz w:val="32"/>
          <w:szCs w:val="32"/>
        </w:rPr>
        <w:t>标服务</w:t>
      </w:r>
      <w:proofErr w:type="gramEnd"/>
      <w:r w:rsidRPr="00422E75">
        <w:rPr>
          <w:rFonts w:ascii="仿宋_GB2312" w:eastAsia="仿宋_GB2312" w:hint="eastAsia"/>
          <w:color w:val="000000"/>
          <w:sz w:val="32"/>
          <w:szCs w:val="32"/>
        </w:rPr>
        <w:t>的优势与意义；</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6．知识产权交易中的律师业务；</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7．知识产权联盟建设与律师创新业务；</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8．我国知识产权融资业务的现状与发展；</w:t>
      </w:r>
    </w:p>
    <w:p w:rsidR="00D93249" w:rsidRPr="00422E75" w:rsidRDefault="00D93249" w:rsidP="00D93249">
      <w:pPr>
        <w:spacing w:line="560" w:lineRule="exact"/>
        <w:ind w:firstLineChars="200" w:firstLine="640"/>
        <w:rPr>
          <w:rFonts w:ascii="仿宋_GB2312" w:eastAsia="仿宋_GB2312" w:hint="eastAsia"/>
          <w:color w:val="000000"/>
          <w:sz w:val="32"/>
          <w:szCs w:val="32"/>
        </w:rPr>
      </w:pPr>
      <w:r w:rsidRPr="00422E75">
        <w:rPr>
          <w:rFonts w:ascii="仿宋_GB2312" w:eastAsia="仿宋_GB2312" w:hint="eastAsia"/>
          <w:color w:val="000000"/>
          <w:sz w:val="32"/>
          <w:szCs w:val="32"/>
        </w:rPr>
        <w:t>9．知识产权保险制度与律师创新业务；</w:t>
      </w:r>
    </w:p>
    <w:p w:rsidR="004B474B" w:rsidRPr="00D93249" w:rsidRDefault="00D93249" w:rsidP="00D93249">
      <w:pPr>
        <w:spacing w:line="560" w:lineRule="exact"/>
        <w:ind w:firstLineChars="200" w:firstLine="640"/>
        <w:rPr>
          <w:rFonts w:ascii="等线"/>
          <w:color w:val="000000"/>
          <w:szCs w:val="21"/>
        </w:rPr>
      </w:pPr>
      <w:r w:rsidRPr="00422E75">
        <w:rPr>
          <w:rFonts w:ascii="仿宋_GB2312" w:eastAsia="仿宋_GB2312" w:hint="eastAsia"/>
          <w:color w:val="000000"/>
          <w:sz w:val="32"/>
          <w:szCs w:val="32"/>
        </w:rPr>
        <w:t>10．非物质文化遗产的传承、创新与知识产权保护。</w:t>
      </w:r>
    </w:p>
    <w:sectPr w:rsidR="004B474B" w:rsidRPr="00D93249" w:rsidSect="003A36A8">
      <w:headerReference w:type="default" r:id="rId4"/>
      <w:footerReference w:type="even" r:id="rId5"/>
      <w:footerReference w:type="default" r:id="rId6"/>
      <w:pgSz w:w="11906" w:h="16838" w:code="9"/>
      <w:pgMar w:top="1418" w:right="1797" w:bottom="1418" w:left="1797"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2BC" w:rsidRDefault="00D93249" w:rsidP="002B75A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D22BC" w:rsidRDefault="00D932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2BC" w:rsidRDefault="00D93249" w:rsidP="002B75A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D22BC" w:rsidRDefault="00D93249">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2BC" w:rsidRDefault="00D93249" w:rsidP="009A64D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49"/>
    <w:rsid w:val="004B474B"/>
    <w:rsid w:val="00D93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2E92"/>
  <w15:chartTrackingRefBased/>
  <w15:docId w15:val="{ED0B6E44-403D-41D0-9C63-874295C5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932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932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93249"/>
    <w:rPr>
      <w:rFonts w:ascii="Times New Roman" w:eastAsia="宋体" w:hAnsi="Times New Roman" w:cs="Times New Roman"/>
      <w:sz w:val="18"/>
      <w:szCs w:val="18"/>
    </w:rPr>
  </w:style>
  <w:style w:type="paragraph" w:styleId="a5">
    <w:name w:val="footer"/>
    <w:basedOn w:val="a"/>
    <w:link w:val="a6"/>
    <w:rsid w:val="00D93249"/>
    <w:pPr>
      <w:tabs>
        <w:tab w:val="center" w:pos="4153"/>
        <w:tab w:val="right" w:pos="8306"/>
      </w:tabs>
      <w:snapToGrid w:val="0"/>
      <w:jc w:val="left"/>
    </w:pPr>
    <w:rPr>
      <w:sz w:val="18"/>
      <w:szCs w:val="18"/>
    </w:rPr>
  </w:style>
  <w:style w:type="character" w:customStyle="1" w:styleId="a6">
    <w:name w:val="页脚 字符"/>
    <w:basedOn w:val="a0"/>
    <w:link w:val="a5"/>
    <w:rsid w:val="00D93249"/>
    <w:rPr>
      <w:rFonts w:ascii="Times New Roman" w:eastAsia="宋体" w:hAnsi="Times New Roman" w:cs="Times New Roman"/>
      <w:sz w:val="18"/>
      <w:szCs w:val="18"/>
    </w:rPr>
  </w:style>
  <w:style w:type="character" w:styleId="a7">
    <w:name w:val="page number"/>
    <w:basedOn w:val="a0"/>
    <w:rsid w:val="00D93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2016-08-12T03:17:00Z</dcterms:created>
  <dcterms:modified xsi:type="dcterms:W3CDTF">2016-08-12T03:17:00Z</dcterms:modified>
</cp:coreProperties>
</file>